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A57D8" w14:textId="7B8C76B0" w:rsidR="00DC3F45" w:rsidRDefault="00DC3F45" w:rsidP="00DC3F45">
      <w:pPr>
        <w:spacing w:line="300" w:lineRule="atLeast"/>
        <w:ind w:left="6917"/>
        <w:jc w:val="left"/>
        <w:textAlignment w:val="top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MBE, 20(6): </w:t>
      </w:r>
      <w:bookmarkStart w:id="0" w:name="_Hlk93480836"/>
      <w:bookmarkStart w:id="1" w:name="_Hlk131171895"/>
      <w:r w:rsidR="00B875D8">
        <w:rPr>
          <w:rFonts w:ascii="Times New Roman" w:hAnsi="Times New Roman"/>
          <w:color w:val="000000" w:themeColor="text1"/>
          <w:sz w:val="22"/>
        </w:rPr>
        <w:t>10339</w:t>
      </w:r>
      <w:r>
        <w:rPr>
          <w:rFonts w:ascii="Times New Roman" w:hAnsi="Times New Roman"/>
          <w:color w:val="000000" w:themeColor="text1"/>
          <w:sz w:val="22"/>
        </w:rPr>
        <w:t>–</w:t>
      </w:r>
      <w:r w:rsidR="00B875D8">
        <w:rPr>
          <w:rFonts w:ascii="Times New Roman" w:hAnsi="Times New Roman"/>
          <w:color w:val="000000" w:themeColor="text1"/>
          <w:sz w:val="22"/>
        </w:rPr>
        <w:t>10357</w:t>
      </w:r>
      <w:bookmarkEnd w:id="1"/>
      <w:r>
        <w:rPr>
          <w:rFonts w:ascii="Times New Roman" w:hAnsi="Times New Roman"/>
          <w:color w:val="000000" w:themeColor="text1"/>
          <w:sz w:val="22"/>
        </w:rPr>
        <w:t>.</w:t>
      </w:r>
      <w:bookmarkEnd w:id="0"/>
      <w:r>
        <w:rPr>
          <w:rFonts w:ascii="Times New Roman" w:hAnsi="Times New Roman"/>
          <w:color w:val="FF0000"/>
          <w:sz w:val="22"/>
        </w:rPr>
        <w:br/>
      </w:r>
      <w:r>
        <w:rPr>
          <w:noProof/>
        </w:rPr>
        <w:drawing>
          <wp:anchor distT="0" distB="0" distL="0" distR="0" simplePos="0" relativeHeight="251660288" behindDoc="0" locked="0" layoutInCell="0" allowOverlap="1" wp14:anchorId="72E2FB2D" wp14:editId="08CAE2EA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2981960" cy="595630"/>
            <wp:effectExtent l="0" t="0" r="0" b="0"/>
            <wp:wrapNone/>
            <wp:docPr id="12" name="图片 12" descr="C:\Users\Administrator\Desktop\logo-MBE.pnglogo-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istrator\Desktop\logo-MBE.pnglogo-M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DOI: 10.3934/mbe.2023xxx</w:t>
      </w:r>
      <w:r>
        <w:rPr>
          <w:rFonts w:ascii="Times New Roman" w:hAnsi="Times New Roman"/>
          <w:sz w:val="22"/>
        </w:rPr>
        <w:br/>
        <w:t>Received: 0</w:t>
      </w:r>
      <w:r w:rsidRPr="00946968">
        <w:rPr>
          <w:rFonts w:ascii="Times New Roman" w:hAnsi="Times New Roman"/>
          <w:sz w:val="22"/>
        </w:rPr>
        <w:t>9</w:t>
      </w:r>
      <w:r>
        <w:rPr>
          <w:rFonts w:ascii="Times New Roman" w:hAnsi="Times New Roman"/>
          <w:sz w:val="22"/>
        </w:rPr>
        <w:t xml:space="preserve"> </w:t>
      </w:r>
      <w:r w:rsidRPr="00946968">
        <w:rPr>
          <w:rFonts w:ascii="Times New Roman" w:hAnsi="Times New Roman"/>
          <w:sz w:val="22"/>
        </w:rPr>
        <w:t>December</w:t>
      </w:r>
      <w:r>
        <w:rPr>
          <w:rFonts w:ascii="Times New Roman" w:hAnsi="Times New Roman"/>
          <w:sz w:val="22"/>
        </w:rPr>
        <w:t xml:space="preserve"> </w:t>
      </w:r>
      <w:r w:rsidRPr="00946968">
        <w:rPr>
          <w:rFonts w:ascii="Times New Roman" w:hAnsi="Times New Roman"/>
          <w:sz w:val="22"/>
        </w:rPr>
        <w:t>2022</w:t>
      </w:r>
    </w:p>
    <w:p w14:paraId="2BE8B5DD" w14:textId="72A5E276" w:rsidR="00DC3F45" w:rsidRDefault="00DC3F45" w:rsidP="00DC3F45">
      <w:pPr>
        <w:spacing w:line="300" w:lineRule="atLeast"/>
        <w:ind w:left="6917"/>
        <w:jc w:val="left"/>
        <w:textAlignment w:val="top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Revised: </w:t>
      </w:r>
      <w:r w:rsidRPr="00946968">
        <w:rPr>
          <w:rFonts w:ascii="Times New Roman" w:hAnsi="Times New Roman"/>
          <w:sz w:val="22"/>
        </w:rPr>
        <w:t>1</w:t>
      </w:r>
      <w:r>
        <w:rPr>
          <w:rFonts w:ascii="Times New Roman" w:hAnsi="Times New Roman"/>
          <w:sz w:val="22"/>
        </w:rPr>
        <w:t xml:space="preserve">6 </w:t>
      </w:r>
      <w:r w:rsidRPr="00946968">
        <w:rPr>
          <w:rFonts w:ascii="Times New Roman" w:hAnsi="Times New Roman"/>
          <w:sz w:val="22"/>
        </w:rPr>
        <w:t>February</w:t>
      </w:r>
      <w:r>
        <w:rPr>
          <w:rFonts w:ascii="Times New Roman" w:hAnsi="Times New Roman"/>
          <w:sz w:val="22"/>
        </w:rPr>
        <w:t xml:space="preserve"> </w:t>
      </w:r>
      <w:r w:rsidRPr="00946968">
        <w:rPr>
          <w:rFonts w:ascii="Times New Roman" w:hAnsi="Times New Roman"/>
          <w:sz w:val="22"/>
        </w:rPr>
        <w:t>2023</w:t>
      </w:r>
      <w:r>
        <w:rPr>
          <w:rFonts w:ascii="Times New Roman" w:hAnsi="Times New Roman"/>
          <w:sz w:val="22"/>
        </w:rPr>
        <w:br/>
        <w:t xml:space="preserve">Accepted: 28 </w:t>
      </w:r>
      <w:r w:rsidRPr="00946968">
        <w:rPr>
          <w:rFonts w:ascii="Times New Roman" w:hAnsi="Times New Roman"/>
          <w:sz w:val="22"/>
        </w:rPr>
        <w:t>February</w:t>
      </w:r>
      <w:r>
        <w:rPr>
          <w:rFonts w:ascii="Times New Roman" w:hAnsi="Times New Roman"/>
          <w:sz w:val="22"/>
        </w:rPr>
        <w:t xml:space="preserve"> </w:t>
      </w:r>
      <w:r w:rsidRPr="00946968">
        <w:rPr>
          <w:rFonts w:ascii="Times New Roman" w:hAnsi="Times New Roman"/>
          <w:sz w:val="22"/>
        </w:rPr>
        <w:t>2023</w:t>
      </w:r>
      <w:r>
        <w:rPr>
          <w:rFonts w:ascii="Times New Roman" w:hAnsi="Times New Roman"/>
          <w:sz w:val="22"/>
        </w:rPr>
        <w:br/>
        <w:t xml:space="preserve">Published: </w:t>
      </w:r>
      <w:r w:rsidR="00241E73">
        <w:rPr>
          <w:rFonts w:ascii="Times New Roman" w:hAnsi="Times New Roman"/>
          <w:sz w:val="22"/>
        </w:rPr>
        <w:t>31</w:t>
      </w:r>
      <w:r>
        <w:rPr>
          <w:rFonts w:ascii="Times New Roman" w:hAnsi="Times New Roman"/>
          <w:sz w:val="22"/>
        </w:rPr>
        <w:t xml:space="preserve"> March 2023</w:t>
      </w:r>
    </w:p>
    <w:p w14:paraId="1995A233" w14:textId="77777777" w:rsidR="00DC3F45" w:rsidRDefault="00DC3F45" w:rsidP="00DC3F45">
      <w:pPr>
        <w:spacing w:line="300" w:lineRule="atLeas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http://www.aimspress.com/journal/MBE</w:t>
      </w:r>
    </w:p>
    <w:p w14:paraId="1C7C39E0" w14:textId="77777777" w:rsidR="00DC3F45" w:rsidRPr="00BF7BC2" w:rsidRDefault="00DC3F45" w:rsidP="00DC3F45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64C4F474" w14:textId="77777777" w:rsidR="00DC3F45" w:rsidRPr="001733D1" w:rsidRDefault="00DC3F45" w:rsidP="00DC3F45">
      <w:pPr>
        <w:spacing w:beforeLines="100" w:before="312" w:line="300" w:lineRule="atLeast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33D1">
        <w:rPr>
          <w:rFonts w:ascii="Times New Roman" w:hAnsi="Times New Roman" w:hint="eastAsia"/>
          <w:b/>
          <w:bCs/>
          <w:i/>
          <w:iCs/>
          <w:sz w:val="24"/>
          <w:szCs w:val="24"/>
        </w:rPr>
        <w:t>Research</w:t>
      </w:r>
      <w:r w:rsidRPr="001733D1">
        <w:rPr>
          <w:rFonts w:ascii="Times New Roman" w:hAnsi="Times New Roman"/>
          <w:b/>
          <w:bCs/>
          <w:i/>
          <w:iCs/>
          <w:sz w:val="24"/>
          <w:szCs w:val="24"/>
        </w:rPr>
        <w:t xml:space="preserve"> article</w:t>
      </w:r>
    </w:p>
    <w:p w14:paraId="61F2B36A" w14:textId="77777777" w:rsidR="00DC3F45" w:rsidRPr="007D00E7" w:rsidRDefault="00DC3F45" w:rsidP="00DC3F45">
      <w:pPr>
        <w:spacing w:beforeLines="100" w:before="312"/>
        <w:rPr>
          <w:rFonts w:ascii="Times New Roman" w:hAnsi="Times New Roman"/>
          <w:b/>
          <w:bCs/>
          <w:sz w:val="32"/>
          <w:szCs w:val="32"/>
        </w:rPr>
      </w:pPr>
      <w:r w:rsidRPr="007D00E7">
        <w:rPr>
          <w:rFonts w:ascii="Times New Roman" w:hAnsi="Times New Roman"/>
          <w:b/>
          <w:bCs/>
          <w:sz w:val="32"/>
          <w:szCs w:val="32"/>
        </w:rPr>
        <w:t xml:space="preserve">Development and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v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alidation of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t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wo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r</w:t>
      </w:r>
      <w:r w:rsidRPr="007D00E7">
        <w:rPr>
          <w:rFonts w:ascii="Times New Roman" w:hAnsi="Times New Roman"/>
          <w:b/>
          <w:bCs/>
          <w:sz w:val="32"/>
          <w:szCs w:val="32"/>
        </w:rPr>
        <w:t>edox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-related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g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enes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 xml:space="preserve">associated with 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prognosis and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immune microenvironment in</w:t>
      </w:r>
      <w:r w:rsidRPr="007D00E7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7D00E7">
        <w:rPr>
          <w:rFonts w:ascii="Times New Roman" w:hAnsi="Times New Roman" w:hint="eastAsia"/>
          <w:b/>
          <w:bCs/>
          <w:sz w:val="32"/>
          <w:szCs w:val="32"/>
        </w:rPr>
        <w:t>endometrial carcinoma</w:t>
      </w:r>
    </w:p>
    <w:p w14:paraId="36D9E271" w14:textId="77777777" w:rsidR="00DC3F45" w:rsidRPr="00FC5CEB" w:rsidRDefault="00DC3F45" w:rsidP="00DC3F45">
      <w:pPr>
        <w:spacing w:beforeLines="100" w:before="312"/>
        <w:rPr>
          <w:rFonts w:ascii="Times New Roman" w:hAnsi="Times New Roman"/>
          <w:b/>
          <w:bCs/>
          <w:spacing w:val="4"/>
          <w:sz w:val="24"/>
          <w:szCs w:val="24"/>
        </w:rPr>
      </w:pP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Yan He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1,</w:t>
      </w:r>
      <w:proofErr w:type="gramStart"/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2,</w:t>
      </w:r>
      <w:bookmarkStart w:id="2" w:name="_Hlk130390726"/>
      <w:r w:rsidRPr="00FC5CEB">
        <w:rPr>
          <w:spacing w:val="4"/>
        </w:rPr>
        <w:t>†</w:t>
      </w:r>
      <w:bookmarkEnd w:id="2"/>
      <w:proofErr w:type="gramEnd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 Nannan Cao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2,</w:t>
      </w:r>
      <w:r w:rsidRPr="00FC5CEB">
        <w:rPr>
          <w:spacing w:val="4"/>
        </w:rPr>
        <w:t>†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Yanan</w:t>
      </w:r>
      <w:proofErr w:type="spellEnd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 xml:space="preserve"> Tian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1,2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Xuelin</w:t>
      </w:r>
      <w:proofErr w:type="spellEnd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 xml:space="preserve"> Wang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Qiaohong</w:t>
      </w:r>
      <w:proofErr w:type="spellEnd"/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Xiao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Xiaojuan</w:t>
      </w:r>
      <w:proofErr w:type="spellEnd"/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Tang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3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Jiaolong</w:t>
      </w:r>
      <w:proofErr w:type="spellEnd"/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Huang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proofErr w:type="spellStart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T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>ingt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ing</w:t>
      </w:r>
      <w:proofErr w:type="spellEnd"/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 xml:space="preserve"> Zhu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Chunhui Hu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4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Ying Zhang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5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Jie Deng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Han Yu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  <w:vertAlign w:val="superscript"/>
        </w:rPr>
        <w:t>,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6,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>*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 xml:space="preserve"> and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 xml:space="preserve"> 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</w:rPr>
        <w:t>Peng Duan</w:t>
      </w:r>
      <w:r w:rsidRPr="00FC5CEB">
        <w:rPr>
          <w:rFonts w:ascii="Times New Roman" w:hAnsi="Times New Roman"/>
          <w:b/>
          <w:bCs/>
          <w:spacing w:val="4"/>
          <w:sz w:val="24"/>
          <w:szCs w:val="24"/>
          <w:vertAlign w:val="superscript"/>
        </w:rPr>
        <w:t>2,</w:t>
      </w:r>
      <w:r w:rsidRPr="00FC5CEB">
        <w:rPr>
          <w:rFonts w:ascii="Times New Roman" w:hAnsi="Times New Roman" w:hint="eastAsia"/>
          <w:b/>
          <w:bCs/>
          <w:spacing w:val="4"/>
          <w:sz w:val="24"/>
          <w:szCs w:val="24"/>
        </w:rPr>
        <w:t>*</w:t>
      </w:r>
    </w:p>
    <w:p w14:paraId="5FD0E955" w14:textId="77777777" w:rsidR="00DC3F45" w:rsidRPr="00BF7BC2" w:rsidRDefault="00DC3F45" w:rsidP="00DC3F45">
      <w:pPr>
        <w:pStyle w:val="af1"/>
        <w:numPr>
          <w:ilvl w:val="0"/>
          <w:numId w:val="4"/>
        </w:numPr>
        <w:spacing w:beforeLines="100" w:before="312" w:line="300" w:lineRule="atLeast"/>
        <w:ind w:left="240" w:hangingChars="100" w:hanging="240"/>
        <w:rPr>
          <w:rFonts w:ascii="Times New Roman" w:hAnsi="Times New Roman"/>
          <w:b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 xml:space="preserve">Postgraduate Union Training Base of Jinzhou Medical University,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No.1 People’s Hospital, Hubei University of Medicine,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441000, China</w:t>
      </w:r>
    </w:p>
    <w:p w14:paraId="6C944B60" w14:textId="77777777" w:rsidR="00DC3F45" w:rsidRPr="00BF7BC2" w:rsidRDefault="00DC3F45" w:rsidP="00DC3F45">
      <w:pPr>
        <w:pStyle w:val="af1"/>
        <w:numPr>
          <w:ilvl w:val="0"/>
          <w:numId w:val="4"/>
        </w:numPr>
        <w:spacing w:line="300" w:lineRule="atLeast"/>
        <w:ind w:left="240" w:hangingChars="100" w:hanging="240"/>
        <w:rPr>
          <w:rFonts w:ascii="Times New Roman" w:hAnsi="Times New Roman"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 xml:space="preserve">Affiliation Key Laboratory of Zebrafish Modeling and Drug Screening for Human Diseases of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City, Department of Obstetrics and </w:t>
      </w:r>
      <w:proofErr w:type="spellStart"/>
      <w:r w:rsidRPr="00BF7BC2">
        <w:rPr>
          <w:rFonts w:ascii="Times New Roman" w:hAnsi="Times New Roman"/>
          <w:sz w:val="24"/>
          <w:szCs w:val="24"/>
        </w:rPr>
        <w:t>Gynaecology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No. 1 People’s Hospital, Hubei University of Medicine,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441000, China</w:t>
      </w:r>
    </w:p>
    <w:p w14:paraId="101C987D" w14:textId="77777777" w:rsidR="00DC3F45" w:rsidRPr="00BF7BC2" w:rsidRDefault="00DC3F45" w:rsidP="00DC3F45">
      <w:pPr>
        <w:pStyle w:val="af1"/>
        <w:numPr>
          <w:ilvl w:val="0"/>
          <w:numId w:val="4"/>
        </w:numPr>
        <w:spacing w:line="300" w:lineRule="atLeast"/>
        <w:ind w:left="240" w:hangingChars="100" w:hanging="240"/>
        <w:rPr>
          <w:rFonts w:ascii="Times New Roman" w:hAnsi="Times New Roman"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 xml:space="preserve">Department of Radiography center, Renmin Hospital, Hubei University of Medicine, </w:t>
      </w:r>
      <w:proofErr w:type="spellStart"/>
      <w:r w:rsidRPr="00BF7BC2">
        <w:rPr>
          <w:rFonts w:ascii="Times New Roman" w:hAnsi="Times New Roman"/>
          <w:sz w:val="24"/>
          <w:szCs w:val="24"/>
        </w:rPr>
        <w:t>Shiyan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442000, China</w:t>
      </w:r>
    </w:p>
    <w:p w14:paraId="3412BB91" w14:textId="77777777" w:rsidR="00DC3F45" w:rsidRPr="00BF7BC2" w:rsidRDefault="00DC3F45" w:rsidP="00DC3F45">
      <w:pPr>
        <w:pStyle w:val="af1"/>
        <w:numPr>
          <w:ilvl w:val="0"/>
          <w:numId w:val="4"/>
        </w:numPr>
        <w:spacing w:line="300" w:lineRule="atLeast"/>
        <w:ind w:left="240" w:hangingChars="100" w:hanging="240"/>
        <w:rPr>
          <w:rFonts w:ascii="Times New Roman" w:hAnsi="Times New Roman"/>
          <w:b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 xml:space="preserve">Department of Clinical Laboratory,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No.1 People’s Hospital, Hubei University of Medicine,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441000, China</w:t>
      </w:r>
    </w:p>
    <w:p w14:paraId="4DB28071" w14:textId="77777777" w:rsidR="00DC3F45" w:rsidRPr="00BF7BC2" w:rsidRDefault="00DC3F45" w:rsidP="00DC3F45">
      <w:pPr>
        <w:pStyle w:val="af1"/>
        <w:numPr>
          <w:ilvl w:val="0"/>
          <w:numId w:val="4"/>
        </w:numPr>
        <w:spacing w:line="300" w:lineRule="atLeast"/>
        <w:ind w:left="240" w:hangingChars="100" w:hanging="240"/>
        <w:rPr>
          <w:rFonts w:ascii="Times New Roman" w:hAnsi="Times New Roman"/>
          <w:b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>Laboratory of Medical Genetics, Harbin Medical University, Harbin 150000, China</w:t>
      </w:r>
    </w:p>
    <w:p w14:paraId="53F655ED" w14:textId="77777777" w:rsidR="00DC3F45" w:rsidRPr="00BF7BC2" w:rsidRDefault="00DC3F45" w:rsidP="00DC3F45">
      <w:pPr>
        <w:pStyle w:val="af1"/>
        <w:numPr>
          <w:ilvl w:val="0"/>
          <w:numId w:val="4"/>
        </w:numPr>
        <w:spacing w:line="300" w:lineRule="atLeast"/>
        <w:ind w:left="240" w:hangingChars="100" w:hanging="240"/>
        <w:rPr>
          <w:rFonts w:ascii="Times New Roman" w:hAnsi="Times New Roman"/>
          <w:b/>
          <w:sz w:val="24"/>
          <w:szCs w:val="24"/>
        </w:rPr>
      </w:pPr>
      <w:r w:rsidRPr="00BF7BC2">
        <w:rPr>
          <w:rFonts w:ascii="Times New Roman" w:hAnsi="Times New Roman"/>
          <w:sz w:val="24"/>
          <w:szCs w:val="24"/>
        </w:rPr>
        <w:t xml:space="preserve">Department of Pathology,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No.1 People’s Hospital, Hubei University of Medicine, </w:t>
      </w:r>
      <w:proofErr w:type="spellStart"/>
      <w:r w:rsidRPr="00BF7BC2">
        <w:rPr>
          <w:rFonts w:ascii="Times New Roman" w:hAnsi="Times New Roman"/>
          <w:sz w:val="24"/>
          <w:szCs w:val="24"/>
        </w:rPr>
        <w:t>Xiangyang</w:t>
      </w:r>
      <w:proofErr w:type="spellEnd"/>
      <w:r w:rsidRPr="00BF7BC2">
        <w:rPr>
          <w:rFonts w:ascii="Times New Roman" w:hAnsi="Times New Roman"/>
          <w:sz w:val="24"/>
          <w:szCs w:val="24"/>
        </w:rPr>
        <w:t xml:space="preserve"> 441000, China</w:t>
      </w:r>
    </w:p>
    <w:p w14:paraId="2C4B4E00" w14:textId="77777777" w:rsidR="00DC3F45" w:rsidRDefault="00DC3F45" w:rsidP="00DC3F45">
      <w:pPr>
        <w:spacing w:beforeLines="100" w:before="312" w:line="300" w:lineRule="atLeast"/>
        <w:ind w:left="241" w:hangingChars="100" w:hanging="241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ab/>
        <w:t xml:space="preserve">Correspondence: </w:t>
      </w:r>
      <w:r w:rsidRPr="0011090F">
        <w:rPr>
          <w:rFonts w:ascii="Times New Roman" w:hAnsi="Times New Roman"/>
          <w:sz w:val="24"/>
          <w:szCs w:val="24"/>
        </w:rPr>
        <w:t xml:space="preserve">Email: </w:t>
      </w:r>
      <w:r w:rsidRPr="00BF7BC2">
        <w:rPr>
          <w:rFonts w:ascii="Times New Roman" w:hAnsi="Times New Roman"/>
          <w:sz w:val="24"/>
          <w:szCs w:val="24"/>
        </w:rPr>
        <w:t>yuhanqh@163.com</w:t>
      </w:r>
      <w:r>
        <w:rPr>
          <w:rStyle w:val="af"/>
          <w:rFonts w:ascii="Times New Roman" w:hAnsi="Times New Roman" w:hint="eastAsia"/>
          <w:color w:val="000000" w:themeColor="text1"/>
          <w:sz w:val="24"/>
          <w:szCs w:val="24"/>
          <w:u w:val="none"/>
        </w:rPr>
        <w:t>,</w:t>
      </w:r>
      <w:r w:rsidRPr="00D05586">
        <w:rPr>
          <w:rStyle w:val="af"/>
          <w:rFonts w:ascii="Times New Roman" w:hAnsi="Times New Roman"/>
          <w:color w:val="000000" w:themeColor="text1"/>
          <w:sz w:val="24"/>
          <w:szCs w:val="24"/>
          <w:u w:val="none"/>
        </w:rPr>
        <w:t xml:space="preserve"> </w:t>
      </w:r>
      <w:r w:rsidRPr="00BF7BC2">
        <w:rPr>
          <w:rFonts w:ascii="Times New Roman" w:hAnsi="Times New Roman"/>
          <w:sz w:val="24"/>
          <w:szCs w:val="24"/>
        </w:rPr>
        <w:t>meduanpeng@163.com</w:t>
      </w:r>
      <w:r w:rsidRPr="00D05586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14:paraId="0D3AA017" w14:textId="43BF9993" w:rsidR="00EC7911" w:rsidRDefault="00DC3F45" w:rsidP="00DC3F45">
      <w:pPr>
        <w:spacing w:beforeLines="100" w:before="312" w:line="300" w:lineRule="atLeast"/>
        <w:ind w:left="210" w:hangingChars="100" w:hanging="210"/>
        <w:jc w:val="left"/>
        <w:rPr>
          <w:rFonts w:ascii="Times New Roman" w:hAnsi="Times New Roman"/>
          <w:b/>
          <w:sz w:val="24"/>
          <w:szCs w:val="24"/>
        </w:rPr>
      </w:pPr>
      <w:r w:rsidRPr="00FC5CEB">
        <w:t>†</w:t>
      </w:r>
      <w:r w:rsidRPr="00FC5CEB">
        <w:rPr>
          <w:vertAlign w:val="superscript"/>
        </w:rPr>
        <w:tab/>
      </w:r>
      <w:r w:rsidRPr="00703D48">
        <w:rPr>
          <w:rFonts w:ascii="Times New Roman" w:hAnsi="Times New Roman"/>
          <w:sz w:val="24"/>
          <w:szCs w:val="24"/>
        </w:rPr>
        <w:t>These two authors contributed equally</w:t>
      </w:r>
      <w:r w:rsidR="00EC7911">
        <w:rPr>
          <w:rFonts w:ascii="Times New Roman" w:hAnsi="Times New Roman"/>
          <w:sz w:val="24"/>
          <w:szCs w:val="24"/>
        </w:rPr>
        <w:t>.</w:t>
      </w:r>
    </w:p>
    <w:p w14:paraId="47A5D5F8" w14:textId="77777777" w:rsidR="009D63B7" w:rsidRPr="00EC7911" w:rsidRDefault="009D63B7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0B113B8F" w14:textId="77522EDB" w:rsidR="00C37D9E" w:rsidRPr="00DC3F45" w:rsidRDefault="00C37D9E" w:rsidP="00D5061C">
      <w:pPr>
        <w:pStyle w:val="1"/>
        <w:spacing w:beforeLines="600" w:before="1872" w:line="300" w:lineRule="atLeast"/>
        <w:ind w:firstLineChars="0" w:firstLine="0"/>
        <w:jc w:val="center"/>
        <w:rPr>
          <w:rFonts w:ascii="Times New Roman" w:hAnsi="Times New Roman"/>
          <w:b/>
          <w:sz w:val="32"/>
          <w:szCs w:val="32"/>
        </w:rPr>
      </w:pPr>
      <w:r w:rsidRPr="00DC3F45">
        <w:rPr>
          <w:rFonts w:ascii="Times New Roman" w:hAnsi="Times New Roman"/>
          <w:b/>
          <w:sz w:val="32"/>
          <w:szCs w:val="32"/>
        </w:rPr>
        <w:lastRenderedPageBreak/>
        <w:t>Supplementary</w:t>
      </w:r>
    </w:p>
    <w:p w14:paraId="136A0FC6" w14:textId="77777777" w:rsidR="001D1AD3" w:rsidRDefault="001D1AD3" w:rsidP="001D1AD3">
      <w:pPr>
        <w:spacing w:beforeLines="100" w:before="312" w:afterLines="100" w:after="312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inline distT="0" distB="0" distL="0" distR="0" wp14:anchorId="7BEB6690" wp14:editId="10CA9BED">
            <wp:extent cx="5110480" cy="40519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441" cy="40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D088" w14:textId="77777777" w:rsidR="001D1AD3" w:rsidRPr="00372394" w:rsidRDefault="001D1AD3" w:rsidP="00DC3F45">
      <w:pPr>
        <w:spacing w:beforeLines="50" w:before="156" w:afterLines="50" w:after="156"/>
        <w:jc w:val="center"/>
        <w:rPr>
          <w:rFonts w:ascii="Times New Roman" w:hAnsi="Times New Roman"/>
          <w:sz w:val="24"/>
          <w:szCs w:val="24"/>
        </w:rPr>
      </w:pPr>
      <w:r w:rsidRPr="00372394">
        <w:rPr>
          <w:rFonts w:ascii="Times New Roman" w:hAnsi="Times New Roman"/>
          <w:b/>
          <w:bCs/>
          <w:sz w:val="24"/>
          <w:szCs w:val="24"/>
        </w:rPr>
        <w:t>Figure S1.</w:t>
      </w:r>
      <w:r w:rsidRPr="00372394">
        <w:rPr>
          <w:rFonts w:ascii="Times New Roman" w:hAnsi="Times New Roman"/>
          <w:sz w:val="24"/>
          <w:szCs w:val="24"/>
        </w:rPr>
        <w:t xml:space="preserve"> The flowchart of this study.</w:t>
      </w:r>
    </w:p>
    <w:p w14:paraId="7FABD4AF" w14:textId="77777777" w:rsidR="001D1AD3" w:rsidRDefault="001D1AD3" w:rsidP="001D1AD3">
      <w:pPr>
        <w:pStyle w:val="EndNoteBibliography"/>
        <w:spacing w:beforeLines="100" w:before="312" w:afterLines="100" w:after="31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CC7F15" wp14:editId="0B341403">
            <wp:extent cx="4678633" cy="2865421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442" cy="29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3143" w14:textId="77777777" w:rsidR="001D1AD3" w:rsidRPr="006247B6" w:rsidRDefault="001D1AD3" w:rsidP="00DC3F45">
      <w:pPr>
        <w:pStyle w:val="EndNoteBibliography"/>
        <w:spacing w:beforeLines="100" w:before="312" w:afterLines="100" w:after="312" w:line="3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6247B6">
        <w:rPr>
          <w:rFonts w:ascii="Times New Roman" w:hAnsi="Times New Roman"/>
          <w:b/>
          <w:bCs/>
          <w:sz w:val="24"/>
          <w:szCs w:val="24"/>
        </w:rPr>
        <w:t>Figure S</w:t>
      </w:r>
      <w:r w:rsidRPr="006247B6">
        <w:rPr>
          <w:rFonts w:ascii="Times New Roman" w:hAnsi="Times New Roman" w:hint="eastAsia"/>
          <w:b/>
          <w:bCs/>
          <w:sz w:val="24"/>
          <w:szCs w:val="24"/>
        </w:rPr>
        <w:t>2</w:t>
      </w:r>
      <w:r w:rsidRPr="006247B6">
        <w:rPr>
          <w:rFonts w:ascii="Times New Roman" w:hAnsi="Times New Roman"/>
          <w:b/>
          <w:bCs/>
          <w:sz w:val="24"/>
          <w:szCs w:val="24"/>
        </w:rPr>
        <w:t>.</w:t>
      </w:r>
      <w:r w:rsidRPr="006247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47B6">
        <w:rPr>
          <w:rFonts w:ascii="Times New Roman" w:hAnsi="Times New Roman" w:cs="Times New Roman"/>
          <w:sz w:val="24"/>
          <w:szCs w:val="24"/>
        </w:rPr>
        <w:t xml:space="preserve">Signal pathways and GO terms involved in two key genes in </w:t>
      </w:r>
      <w:r w:rsidRPr="006247B6">
        <w:rPr>
          <w:rFonts w:ascii="Times New Roman" w:hAnsi="Times New Roman"/>
          <w:sz w:val="24"/>
          <w:szCs w:val="24"/>
        </w:rPr>
        <w:t>certain tumors</w:t>
      </w:r>
      <w:r w:rsidRPr="006247B6">
        <w:rPr>
          <w:rFonts w:ascii="Times New Roman" w:hAnsi="Times New Roman" w:cs="Times New Roman"/>
          <w:sz w:val="24"/>
          <w:szCs w:val="24"/>
        </w:rPr>
        <w:t>.</w:t>
      </w:r>
    </w:p>
    <w:p w14:paraId="0E6DC291" w14:textId="77777777" w:rsidR="001D1AD3" w:rsidRDefault="001D1AD3" w:rsidP="00CB3663">
      <w:pPr>
        <w:widowControl/>
        <w:spacing w:beforeLines="100" w:before="312" w:afterLines="100" w:after="3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67F06039" wp14:editId="0BA86033">
            <wp:extent cx="5654693" cy="2013794"/>
            <wp:effectExtent l="0" t="0" r="31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63" cy="20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E575" w14:textId="77777777" w:rsidR="001D1AD3" w:rsidRPr="006723BA" w:rsidRDefault="001D1AD3" w:rsidP="00DC3F45">
      <w:pPr>
        <w:widowControl/>
        <w:spacing w:beforeLines="100" w:before="312" w:afterLines="50" w:after="156" w:line="300" w:lineRule="atLeast"/>
        <w:ind w:left="567" w:right="567"/>
        <w:rPr>
          <w:rFonts w:ascii="Times New Roman" w:hAnsi="Times New Roman"/>
          <w:sz w:val="24"/>
          <w:szCs w:val="24"/>
        </w:rPr>
      </w:pPr>
      <w:r w:rsidRPr="006723BA">
        <w:rPr>
          <w:rFonts w:ascii="Times New Roman" w:hAnsi="Times New Roman"/>
          <w:b/>
          <w:bCs/>
          <w:sz w:val="24"/>
          <w:szCs w:val="24"/>
        </w:rPr>
        <w:t>Figure S3.</w:t>
      </w:r>
      <w:r w:rsidRPr="006723BA">
        <w:rPr>
          <w:rFonts w:ascii="Times New Roman" w:hAnsi="Times New Roman"/>
          <w:sz w:val="24"/>
          <w:szCs w:val="24"/>
        </w:rPr>
        <w:t xml:space="preserve"> Difference of the risk scores in EC patients with different clinical characteristics. (a) The relationship between the risk scores and clinical stage in TCGA-UCEC datasets. (b) The relationship between the risk scores and tumor grade in TCGA-UCEC datasets.</w:t>
      </w:r>
    </w:p>
    <w:p w14:paraId="2CE8767F" w14:textId="77777777" w:rsidR="001D1AD3" w:rsidRDefault="001D1AD3" w:rsidP="0033620E">
      <w:pPr>
        <w:spacing w:beforeLines="100" w:before="312" w:afterLines="100" w:after="3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57F30CF" wp14:editId="0B805C74">
            <wp:extent cx="5497203" cy="294450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787" cy="29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BA6E" w14:textId="12DC77FE" w:rsidR="001D1AD3" w:rsidRPr="006723BA" w:rsidRDefault="001D1AD3" w:rsidP="00DC3F45">
      <w:pPr>
        <w:pStyle w:val="EndNoteBibliography"/>
        <w:spacing w:beforeLines="100" w:before="312" w:afterLines="50" w:after="156" w:line="300" w:lineRule="atLeast"/>
        <w:ind w:left="567" w:right="567"/>
        <w:rPr>
          <w:rFonts w:ascii="Times New Roman" w:hAnsi="Times New Roman" w:cs="Times New Roman"/>
          <w:sz w:val="24"/>
          <w:szCs w:val="24"/>
        </w:rPr>
      </w:pPr>
      <w:r w:rsidRPr="006723BA">
        <w:rPr>
          <w:rFonts w:ascii="Times New Roman" w:hAnsi="Times New Roman" w:cs="Times New Roman"/>
          <w:b/>
          <w:bCs/>
          <w:sz w:val="24"/>
          <w:szCs w:val="24"/>
        </w:rPr>
        <w:t>Figure S4.</w:t>
      </w:r>
      <w:r w:rsidRPr="006723BA">
        <w:rPr>
          <w:rFonts w:ascii="Times New Roman" w:hAnsi="Times New Roman" w:cs="Times New Roman"/>
          <w:sz w:val="24"/>
          <w:szCs w:val="24"/>
        </w:rPr>
        <w:t xml:space="preserve"> GSVA analysis of low-</w:t>
      </w:r>
      <w:r w:rsidR="00D5061C">
        <w:rPr>
          <w:rFonts w:ascii="Times New Roman" w:hAnsi="Times New Roman" w:cs="Times New Roman"/>
          <w:sz w:val="24"/>
          <w:szCs w:val="24"/>
        </w:rPr>
        <w:t xml:space="preserve"> </w:t>
      </w:r>
      <w:r w:rsidRPr="006723BA">
        <w:rPr>
          <w:rFonts w:ascii="Times New Roman" w:hAnsi="Times New Roman" w:cs="Times New Roman"/>
          <w:sz w:val="24"/>
          <w:szCs w:val="24"/>
        </w:rPr>
        <w:t>and high-risk groups. (a) KEGG analysis of low-</w:t>
      </w:r>
      <w:r w:rsidR="00D5061C">
        <w:rPr>
          <w:rFonts w:ascii="Times New Roman" w:hAnsi="Times New Roman" w:cs="Times New Roman"/>
          <w:sz w:val="24"/>
          <w:szCs w:val="24"/>
        </w:rPr>
        <w:t xml:space="preserve"> </w:t>
      </w:r>
      <w:r w:rsidRPr="006723BA">
        <w:rPr>
          <w:rFonts w:ascii="Times New Roman" w:hAnsi="Times New Roman" w:cs="Times New Roman"/>
          <w:sz w:val="24"/>
          <w:szCs w:val="24"/>
        </w:rPr>
        <w:t xml:space="preserve">and high-risk groups. (b–d) BP, </w:t>
      </w:r>
      <w:proofErr w:type="gramStart"/>
      <w:r w:rsidRPr="006723BA">
        <w:rPr>
          <w:rFonts w:ascii="Times New Roman" w:hAnsi="Times New Roman" w:cs="Times New Roman"/>
          <w:sz w:val="24"/>
          <w:szCs w:val="24"/>
        </w:rPr>
        <w:t>CC</w:t>
      </w:r>
      <w:proofErr w:type="gramEnd"/>
      <w:r w:rsidRPr="006723BA">
        <w:rPr>
          <w:rFonts w:ascii="Times New Roman" w:hAnsi="Times New Roman" w:cs="Times New Roman"/>
          <w:sz w:val="24"/>
          <w:szCs w:val="24"/>
        </w:rPr>
        <w:t xml:space="preserve"> and MF of low-</w:t>
      </w:r>
      <w:r w:rsidR="00D5061C">
        <w:rPr>
          <w:rFonts w:ascii="Times New Roman" w:hAnsi="Times New Roman" w:cs="Times New Roman"/>
          <w:sz w:val="24"/>
          <w:szCs w:val="24"/>
        </w:rPr>
        <w:t xml:space="preserve"> </w:t>
      </w:r>
      <w:r w:rsidRPr="006723BA">
        <w:rPr>
          <w:rFonts w:ascii="Times New Roman" w:hAnsi="Times New Roman" w:cs="Times New Roman"/>
          <w:sz w:val="24"/>
          <w:szCs w:val="24"/>
        </w:rPr>
        <w:t xml:space="preserve">and high-risk groups. Red dots indicate high risk group samples, blue dots indicate low risk group samples. </w:t>
      </w:r>
      <w:r w:rsidRPr="006723B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723BA">
        <w:rPr>
          <w:rFonts w:ascii="Times New Roman" w:hAnsi="Times New Roman" w:cs="Times New Roman"/>
          <w:sz w:val="24"/>
          <w:szCs w:val="24"/>
        </w:rPr>
        <w:t xml:space="preserve"> value </w:t>
      </w:r>
      <w:r w:rsidR="00D5061C">
        <w:rPr>
          <w:rFonts w:ascii="Times New Roman" w:hAnsi="Times New Roman" w:cs="Times New Roman" w:hint="eastAsia"/>
          <w:sz w:val="24"/>
          <w:szCs w:val="24"/>
        </w:rPr>
        <w:t>&lt;</w:t>
      </w:r>
      <w:r w:rsidRPr="006723BA">
        <w:rPr>
          <w:rFonts w:ascii="Times New Roman" w:hAnsi="Times New Roman" w:cs="Times New Roman"/>
          <w:sz w:val="24"/>
          <w:szCs w:val="24"/>
        </w:rPr>
        <w:t xml:space="preserve"> 0.05</w:t>
      </w:r>
      <w:r w:rsidR="00496571">
        <w:rPr>
          <w:rFonts w:ascii="Times New Roman" w:hAnsi="Times New Roman" w:cs="Times New Roman" w:hint="eastAsia"/>
          <w:sz w:val="24"/>
          <w:szCs w:val="24"/>
        </w:rPr>
        <w:t>.</w:t>
      </w:r>
    </w:p>
    <w:p w14:paraId="1BFAF511" w14:textId="77777777" w:rsidR="001D1AD3" w:rsidRDefault="001D1AD3" w:rsidP="001D1AD3">
      <w:pPr>
        <w:spacing w:beforeLines="100" w:before="312" w:afterLines="100" w:after="3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56678D27" wp14:editId="5D9F0827">
            <wp:extent cx="5335994" cy="23467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503" cy="23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3E42" w14:textId="6F963EA5" w:rsidR="001D1AD3" w:rsidRPr="006723BA" w:rsidRDefault="001D1AD3" w:rsidP="00B04121">
      <w:pPr>
        <w:spacing w:beforeLines="100" w:before="312" w:afterLines="50" w:after="156" w:line="300" w:lineRule="atLeast"/>
        <w:ind w:left="567" w:right="567"/>
        <w:rPr>
          <w:rFonts w:ascii="Times New Roman" w:hAnsi="Times New Roman"/>
          <w:sz w:val="24"/>
          <w:szCs w:val="24"/>
        </w:rPr>
      </w:pPr>
      <w:r w:rsidRPr="006723BA">
        <w:rPr>
          <w:rFonts w:ascii="Times New Roman" w:hAnsi="Times New Roman"/>
          <w:b/>
          <w:bCs/>
          <w:sz w:val="24"/>
          <w:szCs w:val="24"/>
        </w:rPr>
        <w:t>F</w:t>
      </w:r>
      <w:r w:rsidRPr="006723BA">
        <w:rPr>
          <w:rFonts w:ascii="Times New Roman" w:hAnsi="Times New Roman" w:hint="eastAsia"/>
          <w:b/>
          <w:bCs/>
          <w:sz w:val="24"/>
          <w:szCs w:val="24"/>
        </w:rPr>
        <w:t>ig</w:t>
      </w:r>
      <w:r w:rsidRPr="006723BA">
        <w:rPr>
          <w:rFonts w:ascii="Times New Roman" w:hAnsi="Times New Roman"/>
          <w:b/>
          <w:bCs/>
          <w:sz w:val="24"/>
          <w:szCs w:val="24"/>
        </w:rPr>
        <w:t xml:space="preserve">ure S5. </w:t>
      </w:r>
      <w:r w:rsidRPr="006723BA">
        <w:rPr>
          <w:rFonts w:ascii="Times New Roman" w:hAnsi="Times New Roman"/>
          <w:sz w:val="24"/>
          <w:szCs w:val="24"/>
        </w:rPr>
        <w:t>The immune cell infiltration in the TCGA-UCEC cohort. (a) Heatmap of immune cells infiltration in low-</w:t>
      </w:r>
      <w:r w:rsidR="00D5061C">
        <w:rPr>
          <w:rFonts w:ascii="Times New Roman" w:hAnsi="Times New Roman"/>
          <w:sz w:val="24"/>
          <w:szCs w:val="24"/>
        </w:rPr>
        <w:t xml:space="preserve"> </w:t>
      </w:r>
      <w:r w:rsidRPr="006723BA">
        <w:rPr>
          <w:rFonts w:ascii="Times New Roman" w:hAnsi="Times New Roman"/>
          <w:sz w:val="24"/>
          <w:szCs w:val="24"/>
        </w:rPr>
        <w:t>and high-risk groups. (b) The correlation analysis between immune cells.</w:t>
      </w:r>
    </w:p>
    <w:p w14:paraId="3C991C7B" w14:textId="77777777" w:rsidR="001D1AD3" w:rsidRDefault="001D1AD3" w:rsidP="001D1AD3">
      <w:pPr>
        <w:widowControl/>
        <w:spacing w:beforeLines="100" w:before="312" w:afterLines="100" w:after="3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908AB17" wp14:editId="1C9872EA">
            <wp:extent cx="5325745" cy="3891915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32" cy="39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AC2E" w14:textId="77777777" w:rsidR="00B04121" w:rsidRDefault="001D1AD3" w:rsidP="00B04121">
      <w:pPr>
        <w:pStyle w:val="EndNoteBibliography"/>
        <w:spacing w:beforeLines="100" w:before="312" w:afterLines="50" w:after="156" w:line="300" w:lineRule="atLeast"/>
        <w:ind w:left="567" w:right="567"/>
        <w:rPr>
          <w:rFonts w:ascii="Times New Roman" w:hAnsi="Times New Roman" w:cs="Times New Roman"/>
          <w:sz w:val="24"/>
          <w:szCs w:val="24"/>
        </w:rPr>
      </w:pPr>
      <w:r w:rsidRPr="00FC082B"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 w:rsidRPr="00FC082B">
        <w:rPr>
          <w:rFonts w:ascii="Times New Roman" w:hAnsi="Times New Roman" w:cs="Times New Roman"/>
          <w:sz w:val="24"/>
          <w:szCs w:val="24"/>
        </w:rPr>
        <w:t xml:space="preserve"> The gene mutation profile in low-risk and high-risk groups. (a, b) the top 20 mutated genes in low-risk and high-risk groups. (c) The mutation profile among low-risk and high-risk groups. </w:t>
      </w:r>
      <w:r w:rsidRPr="00FC082B">
        <w:rPr>
          <w:rFonts w:ascii="Times New Roman" w:hAnsi="Times New Roman" w:cs="Times New Roman" w:hint="eastAsia"/>
          <w:sz w:val="24"/>
          <w:szCs w:val="24"/>
        </w:rPr>
        <w:t>(</w:t>
      </w:r>
      <w:r w:rsidRPr="00FC082B">
        <w:rPr>
          <w:rFonts w:ascii="Times New Roman" w:hAnsi="Times New Roman" w:cs="Times New Roman"/>
          <w:sz w:val="24"/>
          <w:szCs w:val="24"/>
        </w:rPr>
        <w:t>d) Word cloud of mutated genes.</w:t>
      </w:r>
    </w:p>
    <w:p w14:paraId="18C3F060" w14:textId="57D5967E" w:rsidR="001D1AD3" w:rsidRDefault="001D1AD3" w:rsidP="002A75CF">
      <w:pPr>
        <w:pStyle w:val="EndNoteBibliography"/>
        <w:spacing w:beforeLines="100" w:before="312" w:afterLines="100" w:after="312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lastRenderedPageBreak/>
        <w:drawing>
          <wp:inline distT="0" distB="0" distL="0" distR="0" wp14:anchorId="1F7D4185" wp14:editId="23473BDF">
            <wp:extent cx="4387215" cy="40976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202" cy="41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5C3B" w14:textId="77777777" w:rsidR="001D1AD3" w:rsidRPr="00BE5980" w:rsidRDefault="001D1AD3" w:rsidP="00B04121">
      <w:pPr>
        <w:spacing w:beforeLines="100" w:before="312" w:afterLines="100" w:after="312" w:line="300" w:lineRule="atLeast"/>
        <w:jc w:val="center"/>
        <w:rPr>
          <w:rFonts w:ascii="Times New Roman" w:hAnsi="Times New Roman"/>
          <w:sz w:val="24"/>
          <w:szCs w:val="24"/>
        </w:rPr>
      </w:pPr>
      <w:r w:rsidRPr="00BE5980">
        <w:rPr>
          <w:rFonts w:ascii="Times New Roman" w:hAnsi="Times New Roman"/>
          <w:b/>
          <w:bCs/>
          <w:sz w:val="24"/>
          <w:szCs w:val="24"/>
        </w:rPr>
        <w:t xml:space="preserve">Figure S7. </w:t>
      </w:r>
      <w:r w:rsidRPr="00BE5980">
        <w:rPr>
          <w:rFonts w:ascii="Times New Roman" w:hAnsi="Times New Roman"/>
          <w:sz w:val="24"/>
          <w:szCs w:val="24"/>
        </w:rPr>
        <w:t xml:space="preserve">Analysis of gene variant classifications and types in </w:t>
      </w:r>
      <w:r w:rsidRPr="00BE5980">
        <w:rPr>
          <w:rFonts w:ascii="Times New Roman" w:hAnsi="Times New Roman" w:hint="eastAsia"/>
          <w:sz w:val="24"/>
          <w:szCs w:val="24"/>
        </w:rPr>
        <w:t xml:space="preserve">the </w:t>
      </w:r>
      <w:r w:rsidRPr="00BE5980">
        <w:rPr>
          <w:rFonts w:ascii="Times New Roman" w:hAnsi="Times New Roman"/>
          <w:sz w:val="24"/>
          <w:szCs w:val="24"/>
        </w:rPr>
        <w:t>TCGA-UCEC cohort.</w:t>
      </w:r>
    </w:p>
    <w:p w14:paraId="2684169B" w14:textId="77777777" w:rsidR="001D1AD3" w:rsidRDefault="001D1AD3" w:rsidP="00B04121">
      <w:pPr>
        <w:spacing w:beforeLines="100" w:before="312" w:afterLines="100" w:after="3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ED0A875" wp14:editId="25DB9787">
            <wp:extent cx="4845050" cy="21558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11" cy="21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9E83" w14:textId="0D92026D" w:rsidR="005724A4" w:rsidRDefault="001D1AD3" w:rsidP="007B486C">
      <w:pPr>
        <w:pStyle w:val="1"/>
        <w:spacing w:beforeLines="100" w:before="312" w:afterLines="50" w:after="156" w:line="300" w:lineRule="atLeast"/>
        <w:ind w:left="567" w:right="567" w:firstLineChars="0" w:firstLine="0"/>
        <w:rPr>
          <w:rFonts w:ascii="Times New Roman" w:hAnsi="Times New Roman"/>
          <w:b/>
          <w:sz w:val="24"/>
          <w:szCs w:val="24"/>
        </w:rPr>
      </w:pPr>
      <w:r w:rsidRPr="000859EF">
        <w:rPr>
          <w:rFonts w:ascii="Times New Roman" w:hAnsi="Times New Roman"/>
          <w:b/>
          <w:bCs/>
          <w:sz w:val="24"/>
          <w:szCs w:val="24"/>
        </w:rPr>
        <w:t>Figure S8.</w:t>
      </w:r>
      <w:r w:rsidRPr="000859EF">
        <w:rPr>
          <w:rFonts w:ascii="Times New Roman" w:hAnsi="Times New Roman"/>
          <w:sz w:val="24"/>
          <w:szCs w:val="24"/>
        </w:rPr>
        <w:t xml:space="preserve"> The mutation profile and co-</w:t>
      </w:r>
      <w:proofErr w:type="spellStart"/>
      <w:r w:rsidRPr="000859EF">
        <w:rPr>
          <w:rFonts w:ascii="Times New Roman" w:hAnsi="Times New Roman"/>
          <w:sz w:val="24"/>
          <w:szCs w:val="24"/>
        </w:rPr>
        <w:t>occurence</w:t>
      </w:r>
      <w:proofErr w:type="spellEnd"/>
      <w:r w:rsidRPr="000859EF">
        <w:rPr>
          <w:rFonts w:ascii="Times New Roman" w:hAnsi="Times New Roman"/>
          <w:sz w:val="24"/>
          <w:szCs w:val="24"/>
        </w:rPr>
        <w:t xml:space="preserve"> of </w:t>
      </w:r>
      <w:r w:rsidRPr="000859EF">
        <w:rPr>
          <w:rFonts w:ascii="Times New Roman" w:hAnsi="Times New Roman"/>
          <w:i/>
          <w:iCs/>
          <w:sz w:val="24"/>
          <w:szCs w:val="24"/>
        </w:rPr>
        <w:t>CYBA</w:t>
      </w:r>
      <w:r w:rsidRPr="000859EF">
        <w:rPr>
          <w:rFonts w:ascii="Times New Roman" w:hAnsi="Times New Roman"/>
          <w:sz w:val="24"/>
          <w:szCs w:val="24"/>
        </w:rPr>
        <w:t xml:space="preserve"> and </w:t>
      </w:r>
      <w:r w:rsidRPr="000859EF">
        <w:rPr>
          <w:rFonts w:ascii="Times New Roman" w:hAnsi="Times New Roman"/>
          <w:i/>
          <w:iCs/>
          <w:sz w:val="24"/>
          <w:szCs w:val="24"/>
        </w:rPr>
        <w:t>SMPD3</w:t>
      </w:r>
      <w:r w:rsidRPr="000859EF">
        <w:rPr>
          <w:rFonts w:ascii="Times New Roman" w:hAnsi="Times New Roman"/>
          <w:sz w:val="24"/>
          <w:szCs w:val="24"/>
        </w:rPr>
        <w:t xml:space="preserve">. </w:t>
      </w:r>
      <w:r w:rsidR="00D8678B">
        <w:rPr>
          <w:rFonts w:ascii="Times New Roman" w:hAnsi="Times New Roman"/>
          <w:sz w:val="24"/>
          <w:szCs w:val="24"/>
        </w:rPr>
        <w:t>(a)</w:t>
      </w:r>
      <w:r w:rsidRPr="000859EF">
        <w:rPr>
          <w:rFonts w:ascii="Times New Roman" w:hAnsi="Times New Roman"/>
          <w:sz w:val="24"/>
          <w:szCs w:val="24"/>
        </w:rPr>
        <w:t xml:space="preserve"> The mutation frequency of </w:t>
      </w:r>
      <w:r w:rsidRPr="000859EF">
        <w:rPr>
          <w:rFonts w:ascii="Times New Roman" w:hAnsi="Times New Roman"/>
          <w:i/>
          <w:iCs/>
          <w:sz w:val="24"/>
          <w:szCs w:val="24"/>
        </w:rPr>
        <w:t>CYBA</w:t>
      </w:r>
      <w:r w:rsidRPr="000859EF">
        <w:rPr>
          <w:rFonts w:ascii="Times New Roman" w:hAnsi="Times New Roman"/>
          <w:sz w:val="24"/>
          <w:szCs w:val="24"/>
        </w:rPr>
        <w:t xml:space="preserve"> and </w:t>
      </w:r>
      <w:r w:rsidRPr="000859EF">
        <w:rPr>
          <w:rFonts w:ascii="Times New Roman" w:hAnsi="Times New Roman"/>
          <w:i/>
          <w:iCs/>
          <w:sz w:val="24"/>
          <w:szCs w:val="24"/>
        </w:rPr>
        <w:t>SMPD3</w:t>
      </w:r>
      <w:r w:rsidRPr="000859EF">
        <w:rPr>
          <w:rFonts w:ascii="Times New Roman" w:hAnsi="Times New Roman"/>
          <w:sz w:val="24"/>
          <w:szCs w:val="24"/>
        </w:rPr>
        <w:t xml:space="preserve"> in </w:t>
      </w:r>
      <w:r w:rsidRPr="000859EF">
        <w:rPr>
          <w:rFonts w:ascii="Times New Roman" w:hAnsi="Times New Roman" w:hint="eastAsia"/>
          <w:sz w:val="24"/>
          <w:szCs w:val="24"/>
        </w:rPr>
        <w:t xml:space="preserve">the </w:t>
      </w:r>
      <w:r w:rsidRPr="000859EF">
        <w:rPr>
          <w:rFonts w:ascii="Times New Roman" w:hAnsi="Times New Roman"/>
          <w:sz w:val="24"/>
          <w:szCs w:val="24"/>
        </w:rPr>
        <w:t xml:space="preserve">TCGA-UCEC cohort. </w:t>
      </w:r>
      <w:r w:rsidR="00D8678B">
        <w:rPr>
          <w:rFonts w:ascii="Times New Roman" w:hAnsi="Times New Roman"/>
          <w:sz w:val="24"/>
          <w:szCs w:val="24"/>
        </w:rPr>
        <w:t>(b)</w:t>
      </w:r>
      <w:r w:rsidRPr="000859EF">
        <w:rPr>
          <w:rFonts w:ascii="Times New Roman" w:hAnsi="Times New Roman"/>
          <w:sz w:val="24"/>
          <w:szCs w:val="24"/>
        </w:rPr>
        <w:t xml:space="preserve"> Co-</w:t>
      </w:r>
      <w:proofErr w:type="spellStart"/>
      <w:r w:rsidRPr="000859EF">
        <w:rPr>
          <w:rFonts w:ascii="Times New Roman" w:hAnsi="Times New Roman"/>
          <w:sz w:val="24"/>
          <w:szCs w:val="24"/>
        </w:rPr>
        <w:t>occurence</w:t>
      </w:r>
      <w:proofErr w:type="spellEnd"/>
      <w:r w:rsidRPr="000859EF">
        <w:rPr>
          <w:rFonts w:ascii="Times New Roman" w:hAnsi="Times New Roman"/>
          <w:sz w:val="24"/>
          <w:szCs w:val="24"/>
        </w:rPr>
        <w:t xml:space="preserve"> among somatic mutation genes.</w:t>
      </w:r>
    </w:p>
    <w:p w14:paraId="2F268F01" w14:textId="692F30DC" w:rsidR="009D63B7" w:rsidRDefault="0034132D" w:rsidP="00EA2CA5">
      <w:pPr>
        <w:spacing w:beforeLines="100" w:before="312" w:line="300" w:lineRule="atLeast"/>
        <w:ind w:leftChars="1520" w:left="319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F04207" wp14:editId="2121D66B">
            <wp:simplePos x="0" y="0"/>
            <wp:positionH relativeFrom="column">
              <wp:posOffset>55245</wp:posOffset>
            </wp:positionH>
            <wp:positionV relativeFrom="paragraph">
              <wp:posOffset>247015</wp:posOffset>
            </wp:positionV>
            <wp:extent cx="1727835" cy="493395"/>
            <wp:effectExtent l="0" t="0" r="0" b="0"/>
            <wp:wrapNone/>
            <wp:docPr id="2" name="Pictur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4C1">
        <w:rPr>
          <w:rFonts w:ascii="Times New Roman" w:hAnsi="Times New Roman"/>
          <w:sz w:val="24"/>
          <w:szCs w:val="24"/>
        </w:rPr>
        <w:t>©20</w:t>
      </w:r>
      <w:r w:rsidR="008C148F">
        <w:rPr>
          <w:rFonts w:ascii="Times New Roman" w:hAnsi="Times New Roman"/>
          <w:sz w:val="24"/>
          <w:szCs w:val="24"/>
        </w:rPr>
        <w:t>2</w:t>
      </w:r>
      <w:r w:rsidR="00B04121">
        <w:rPr>
          <w:rFonts w:ascii="Times New Roman" w:hAnsi="Times New Roman"/>
          <w:sz w:val="24"/>
          <w:szCs w:val="24"/>
        </w:rPr>
        <w:t>3</w:t>
      </w:r>
      <w:r w:rsidR="007A34C1">
        <w:rPr>
          <w:rFonts w:ascii="Times New Roman" w:hAnsi="Times New Roman"/>
          <w:sz w:val="24"/>
          <w:szCs w:val="24"/>
        </w:rPr>
        <w:t xml:space="preserve"> </w:t>
      </w:r>
      <w:r w:rsidR="007A34C1">
        <w:rPr>
          <w:rFonts w:ascii="Times New Roman" w:hAnsi="Times New Roman" w:hint="eastAsia"/>
          <w:sz w:val="24"/>
          <w:szCs w:val="24"/>
        </w:rPr>
        <w:t>the Author(s), licensee AIMS Press. T</w:t>
      </w:r>
      <w:r w:rsidR="007A34C1">
        <w:rPr>
          <w:rFonts w:ascii="Times New Roman" w:hAnsi="Times New Roman"/>
          <w:sz w:val="24"/>
          <w:szCs w:val="24"/>
        </w:rPr>
        <w:t>his is an open access article distributed under the terms of the Creative Commons Attribution License (http://creativecommons.org/licenses/by/</w:t>
      </w:r>
      <w:r w:rsidR="007A34C1">
        <w:rPr>
          <w:rFonts w:ascii="Times New Roman" w:hAnsi="Times New Roman" w:hint="eastAsia"/>
          <w:sz w:val="24"/>
          <w:szCs w:val="24"/>
        </w:rPr>
        <w:t>4</w:t>
      </w:r>
      <w:r w:rsidR="007A34C1">
        <w:rPr>
          <w:rFonts w:ascii="Times New Roman" w:hAnsi="Times New Roman"/>
          <w:sz w:val="24"/>
          <w:szCs w:val="24"/>
        </w:rPr>
        <w:t>.0)</w:t>
      </w:r>
    </w:p>
    <w:sectPr w:rsidR="009D63B7" w:rsidSect="00301AAF">
      <w:headerReference w:type="default" r:id="rId18"/>
      <w:footerReference w:type="default" r:id="rId19"/>
      <w:pgSz w:w="11906" w:h="16838"/>
      <w:pgMar w:top="1440" w:right="1080" w:bottom="1440" w:left="108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DD3C1" w14:textId="77777777" w:rsidR="00AC3AE8" w:rsidRDefault="00AC3AE8">
      <w:r>
        <w:separator/>
      </w:r>
    </w:p>
  </w:endnote>
  <w:endnote w:type="continuationSeparator" w:id="0">
    <w:p w14:paraId="34B7F987" w14:textId="77777777" w:rsidR="00AC3AE8" w:rsidRDefault="00AC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5555F" w14:textId="4B7D4E2B" w:rsidR="009D63B7" w:rsidRDefault="007A34C1">
    <w:pPr>
      <w:pStyle w:val="a7"/>
      <w:tabs>
        <w:tab w:val="clear" w:pos="8306"/>
        <w:tab w:val="right" w:pos="9781"/>
      </w:tabs>
      <w:jc w:val="both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Mathematical Biosciences and Engineering</w:t>
    </w:r>
    <w:r>
      <w:rPr>
        <w:rFonts w:ascii="Times New Roman" w:hAnsi="Times New Roman" w:hint="eastAsia"/>
        <w:sz w:val="20"/>
        <w:szCs w:val="20"/>
      </w:rPr>
      <w:tab/>
    </w:r>
    <w:r>
      <w:rPr>
        <w:rFonts w:ascii="Times New Roman" w:hAnsi="Times New Roman" w:hint="eastAsia"/>
        <w:sz w:val="20"/>
        <w:szCs w:val="20"/>
      </w:rPr>
      <w:tab/>
      <w:t xml:space="preserve">Volume </w:t>
    </w:r>
    <w:r w:rsidR="00B875D8">
      <w:rPr>
        <w:rFonts w:ascii="Times New Roman" w:hAnsi="Times New Roman"/>
        <w:sz w:val="20"/>
        <w:szCs w:val="20"/>
      </w:rPr>
      <w:t>20</w:t>
    </w:r>
    <w:r>
      <w:rPr>
        <w:rFonts w:ascii="Times New Roman" w:hAnsi="Times New Roman" w:hint="eastAsia"/>
        <w:sz w:val="20"/>
        <w:szCs w:val="20"/>
      </w:rPr>
      <w:t xml:space="preserve">, Issue </w:t>
    </w:r>
    <w:r w:rsidR="00B875D8">
      <w:rPr>
        <w:rFonts w:ascii="Times New Roman" w:hAnsi="Times New Roman"/>
        <w:sz w:val="20"/>
        <w:szCs w:val="20"/>
      </w:rPr>
      <w:t>6</w:t>
    </w:r>
    <w:r>
      <w:rPr>
        <w:rFonts w:ascii="Times New Roman" w:hAnsi="Times New Roman" w:hint="eastAsia"/>
        <w:sz w:val="20"/>
        <w:szCs w:val="20"/>
      </w:rPr>
      <w:t xml:space="preserve">, </w:t>
    </w:r>
    <w:r w:rsidR="00B875D8" w:rsidRPr="00B875D8">
      <w:rPr>
        <w:rFonts w:ascii="Times New Roman" w:hAnsi="Times New Roman"/>
        <w:sz w:val="20"/>
        <w:szCs w:val="20"/>
      </w:rPr>
      <w:t>10339–10357</w:t>
    </w:r>
    <w:r>
      <w:rPr>
        <w:rFonts w:ascii="Times New Roman" w:hAnsi="Times New Roman" w:hint="eastAsia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55E3" w14:textId="77777777" w:rsidR="00AC3AE8" w:rsidRDefault="00AC3AE8">
      <w:r>
        <w:separator/>
      </w:r>
    </w:p>
  </w:footnote>
  <w:footnote w:type="continuationSeparator" w:id="0">
    <w:p w14:paraId="24FE0507" w14:textId="77777777" w:rsidR="00AC3AE8" w:rsidRDefault="00AC3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1B38" w14:textId="77777777" w:rsidR="009D63B7" w:rsidRPr="008C148F" w:rsidRDefault="00301AAF" w:rsidP="008C148F">
    <w:pPr>
      <w:pStyle w:val="a9"/>
      <w:jc w:val="right"/>
      <w:rPr>
        <w:sz w:val="20"/>
        <w:szCs w:val="20"/>
      </w:rPr>
    </w:pPr>
    <w:r>
      <w:rPr>
        <w:rFonts w:ascii="Times New Roman" w:hAnsi="Times New Roman"/>
        <w:sz w:val="20"/>
        <w:szCs w:val="20"/>
      </w:rPr>
      <w:fldChar w:fldCharType="begin"/>
    </w:r>
    <w:r w:rsidR="007A34C1">
      <w:rPr>
        <w:rFonts w:ascii="Times New Roman" w:hAnsi="Times New Roman"/>
        <w:sz w:val="20"/>
        <w:szCs w:val="20"/>
      </w:rPr>
      <w:instrText xml:space="preserve"> PAGE   \* MERGEFORMAT </w:instrText>
    </w:r>
    <w:r>
      <w:rPr>
        <w:rFonts w:ascii="Times New Roman" w:hAnsi="Times New Roman"/>
        <w:sz w:val="20"/>
        <w:szCs w:val="20"/>
      </w:rPr>
      <w:fldChar w:fldCharType="separate"/>
    </w:r>
    <w:r w:rsidR="00521ED1" w:rsidRPr="00521ED1">
      <w:rPr>
        <w:rFonts w:ascii="Times New Roman" w:hAnsi="Times New Roman"/>
        <w:noProof/>
        <w:sz w:val="20"/>
        <w:szCs w:val="20"/>
        <w:lang w:val="zh-CN"/>
      </w:rPr>
      <w:t>3</w:t>
    </w:r>
    <w:r>
      <w:rPr>
        <w:rFonts w:ascii="Times New Roman" w:hAnsi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AB4"/>
    <w:multiLevelType w:val="multilevel"/>
    <w:tmpl w:val="04822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0226B6"/>
    <w:multiLevelType w:val="multilevel"/>
    <w:tmpl w:val="06022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E44F04"/>
    <w:multiLevelType w:val="hybridMultilevel"/>
    <w:tmpl w:val="934422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2D684C54">
      <w:start w:val="15"/>
      <w:numFmt w:val="bullet"/>
      <w:lvlText w:val="%2."/>
      <w:lvlJc w:val="left"/>
      <w:pPr>
        <w:ind w:left="780" w:hanging="360"/>
      </w:pPr>
      <w:rPr>
        <w:rFonts w:ascii="Wingdings" w:eastAsia="宋体" w:hAnsi="Wingdings" w:cs="Times New Roman" w:hint="default"/>
      </w:rPr>
    </w:lvl>
    <w:lvl w:ilvl="2" w:tplc="15B629D6">
      <w:start w:val="1"/>
      <w:numFmt w:val="upperLetter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174452C"/>
    <w:multiLevelType w:val="hybridMultilevel"/>
    <w:tmpl w:val="FBD016D0"/>
    <w:lvl w:ilvl="0" w:tplc="83CA7AD4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vertAlign w:val="superscrip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98184170">
    <w:abstractNumId w:val="1"/>
  </w:num>
  <w:num w:numId="2" w16cid:durableId="2072847688">
    <w:abstractNumId w:val="0"/>
  </w:num>
  <w:num w:numId="3" w16cid:durableId="1908110391">
    <w:abstractNumId w:val="2"/>
  </w:num>
  <w:num w:numId="4" w16cid:durableId="8457551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647"/>
    <w:rsid w:val="000371B4"/>
    <w:rsid w:val="000479D8"/>
    <w:rsid w:val="00060656"/>
    <w:rsid w:val="00084FE2"/>
    <w:rsid w:val="000A0B24"/>
    <w:rsid w:val="000C707C"/>
    <w:rsid w:val="0010408D"/>
    <w:rsid w:val="00122700"/>
    <w:rsid w:val="00151F32"/>
    <w:rsid w:val="001558CB"/>
    <w:rsid w:val="00171016"/>
    <w:rsid w:val="0017402E"/>
    <w:rsid w:val="001A2044"/>
    <w:rsid w:val="001A2570"/>
    <w:rsid w:val="001A40D4"/>
    <w:rsid w:val="001C7E09"/>
    <w:rsid w:val="001C7FC2"/>
    <w:rsid w:val="001D1AD3"/>
    <w:rsid w:val="002122F6"/>
    <w:rsid w:val="00213A73"/>
    <w:rsid w:val="00233B00"/>
    <w:rsid w:val="00241E73"/>
    <w:rsid w:val="00243D6A"/>
    <w:rsid w:val="00274294"/>
    <w:rsid w:val="00276879"/>
    <w:rsid w:val="002A4734"/>
    <w:rsid w:val="002A75CF"/>
    <w:rsid w:val="002B0B58"/>
    <w:rsid w:val="002B4563"/>
    <w:rsid w:val="002D2765"/>
    <w:rsid w:val="002F7AE1"/>
    <w:rsid w:val="00301AAF"/>
    <w:rsid w:val="003053B0"/>
    <w:rsid w:val="003170B8"/>
    <w:rsid w:val="0033620E"/>
    <w:rsid w:val="00337263"/>
    <w:rsid w:val="0034132D"/>
    <w:rsid w:val="00372394"/>
    <w:rsid w:val="003911E1"/>
    <w:rsid w:val="0039396B"/>
    <w:rsid w:val="003B19A4"/>
    <w:rsid w:val="003B316E"/>
    <w:rsid w:val="003C3DE1"/>
    <w:rsid w:val="003D222B"/>
    <w:rsid w:val="00416426"/>
    <w:rsid w:val="0042095F"/>
    <w:rsid w:val="0042754A"/>
    <w:rsid w:val="00430AF9"/>
    <w:rsid w:val="00433C67"/>
    <w:rsid w:val="00451966"/>
    <w:rsid w:val="00453028"/>
    <w:rsid w:val="00480006"/>
    <w:rsid w:val="004814FF"/>
    <w:rsid w:val="00492219"/>
    <w:rsid w:val="00496571"/>
    <w:rsid w:val="004A03DE"/>
    <w:rsid w:val="004A1B39"/>
    <w:rsid w:val="004A7E03"/>
    <w:rsid w:val="004C7F61"/>
    <w:rsid w:val="004C7F63"/>
    <w:rsid w:val="004F5E00"/>
    <w:rsid w:val="004F6F46"/>
    <w:rsid w:val="00503D7A"/>
    <w:rsid w:val="00521ED1"/>
    <w:rsid w:val="00534E3A"/>
    <w:rsid w:val="00534EEB"/>
    <w:rsid w:val="005377BF"/>
    <w:rsid w:val="00540A1E"/>
    <w:rsid w:val="00555DCB"/>
    <w:rsid w:val="0056436A"/>
    <w:rsid w:val="00566488"/>
    <w:rsid w:val="005724A4"/>
    <w:rsid w:val="005B485C"/>
    <w:rsid w:val="005D4AFE"/>
    <w:rsid w:val="005E3EC2"/>
    <w:rsid w:val="005F6866"/>
    <w:rsid w:val="006175C4"/>
    <w:rsid w:val="00632053"/>
    <w:rsid w:val="00647D19"/>
    <w:rsid w:val="00652850"/>
    <w:rsid w:val="00654CE4"/>
    <w:rsid w:val="00655B75"/>
    <w:rsid w:val="00675610"/>
    <w:rsid w:val="00681D40"/>
    <w:rsid w:val="006A175B"/>
    <w:rsid w:val="006E0B4C"/>
    <w:rsid w:val="006E67FC"/>
    <w:rsid w:val="0070094A"/>
    <w:rsid w:val="00714E36"/>
    <w:rsid w:val="00726902"/>
    <w:rsid w:val="00735211"/>
    <w:rsid w:val="00742F11"/>
    <w:rsid w:val="00762DB4"/>
    <w:rsid w:val="00782EEC"/>
    <w:rsid w:val="00786971"/>
    <w:rsid w:val="007A34C1"/>
    <w:rsid w:val="007B486C"/>
    <w:rsid w:val="007C4D90"/>
    <w:rsid w:val="007C5203"/>
    <w:rsid w:val="008026A2"/>
    <w:rsid w:val="00807CA6"/>
    <w:rsid w:val="00813746"/>
    <w:rsid w:val="0081698D"/>
    <w:rsid w:val="00827331"/>
    <w:rsid w:val="00832CED"/>
    <w:rsid w:val="008574A8"/>
    <w:rsid w:val="00862672"/>
    <w:rsid w:val="00871B4C"/>
    <w:rsid w:val="00876383"/>
    <w:rsid w:val="00886FF2"/>
    <w:rsid w:val="008975E4"/>
    <w:rsid w:val="008B608E"/>
    <w:rsid w:val="008C148F"/>
    <w:rsid w:val="008F1128"/>
    <w:rsid w:val="0090049F"/>
    <w:rsid w:val="00920513"/>
    <w:rsid w:val="0093528C"/>
    <w:rsid w:val="009607A6"/>
    <w:rsid w:val="00973BAF"/>
    <w:rsid w:val="00997EAF"/>
    <w:rsid w:val="009A54F7"/>
    <w:rsid w:val="009D63B7"/>
    <w:rsid w:val="009F272E"/>
    <w:rsid w:val="00A1206D"/>
    <w:rsid w:val="00A21988"/>
    <w:rsid w:val="00A26696"/>
    <w:rsid w:val="00A2709A"/>
    <w:rsid w:val="00A40F1A"/>
    <w:rsid w:val="00A436CD"/>
    <w:rsid w:val="00A43FCE"/>
    <w:rsid w:val="00A73A4B"/>
    <w:rsid w:val="00A91AFC"/>
    <w:rsid w:val="00AC27CB"/>
    <w:rsid w:val="00AC3AE8"/>
    <w:rsid w:val="00AC5C32"/>
    <w:rsid w:val="00B04121"/>
    <w:rsid w:val="00B169CB"/>
    <w:rsid w:val="00B35282"/>
    <w:rsid w:val="00B77473"/>
    <w:rsid w:val="00B8322F"/>
    <w:rsid w:val="00B83822"/>
    <w:rsid w:val="00B85414"/>
    <w:rsid w:val="00B875D8"/>
    <w:rsid w:val="00B94AF0"/>
    <w:rsid w:val="00BC19F6"/>
    <w:rsid w:val="00BD10CE"/>
    <w:rsid w:val="00BE227B"/>
    <w:rsid w:val="00BF714C"/>
    <w:rsid w:val="00C01D25"/>
    <w:rsid w:val="00C34F36"/>
    <w:rsid w:val="00C36D23"/>
    <w:rsid w:val="00C37D9E"/>
    <w:rsid w:val="00C45A71"/>
    <w:rsid w:val="00C52FC6"/>
    <w:rsid w:val="00C5614E"/>
    <w:rsid w:val="00C621EE"/>
    <w:rsid w:val="00C75D7F"/>
    <w:rsid w:val="00C84E1C"/>
    <w:rsid w:val="00CA646D"/>
    <w:rsid w:val="00CA70FD"/>
    <w:rsid w:val="00CB3663"/>
    <w:rsid w:val="00CD56CF"/>
    <w:rsid w:val="00CE51D4"/>
    <w:rsid w:val="00CE67E9"/>
    <w:rsid w:val="00CF09F8"/>
    <w:rsid w:val="00CF648F"/>
    <w:rsid w:val="00D31E53"/>
    <w:rsid w:val="00D362B7"/>
    <w:rsid w:val="00D42E12"/>
    <w:rsid w:val="00D4527A"/>
    <w:rsid w:val="00D5061C"/>
    <w:rsid w:val="00D51492"/>
    <w:rsid w:val="00D57F89"/>
    <w:rsid w:val="00D61F60"/>
    <w:rsid w:val="00D8678B"/>
    <w:rsid w:val="00DA4584"/>
    <w:rsid w:val="00DC3F45"/>
    <w:rsid w:val="00DD31EF"/>
    <w:rsid w:val="00DD5D03"/>
    <w:rsid w:val="00DE79A1"/>
    <w:rsid w:val="00E16129"/>
    <w:rsid w:val="00E3309F"/>
    <w:rsid w:val="00E3498C"/>
    <w:rsid w:val="00E36925"/>
    <w:rsid w:val="00E602B3"/>
    <w:rsid w:val="00E84CBC"/>
    <w:rsid w:val="00EA2CA5"/>
    <w:rsid w:val="00EC592F"/>
    <w:rsid w:val="00EC7911"/>
    <w:rsid w:val="00EE6426"/>
    <w:rsid w:val="00EF1EF5"/>
    <w:rsid w:val="00EF6647"/>
    <w:rsid w:val="00F43F2E"/>
    <w:rsid w:val="00F614A3"/>
    <w:rsid w:val="00F640D9"/>
    <w:rsid w:val="00F70B16"/>
    <w:rsid w:val="00F7289D"/>
    <w:rsid w:val="00F848A1"/>
    <w:rsid w:val="00F96654"/>
    <w:rsid w:val="00FA43CE"/>
    <w:rsid w:val="00FB79BB"/>
    <w:rsid w:val="042F74B6"/>
    <w:rsid w:val="46874059"/>
    <w:rsid w:val="7535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2AC98B"/>
  <w15:docId w15:val="{E33AE8A9-F659-491A-839B-0A69F984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01A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301AAF"/>
    <w:pPr>
      <w:jc w:val="left"/>
    </w:pPr>
  </w:style>
  <w:style w:type="paragraph" w:styleId="a5">
    <w:name w:val="Balloon Text"/>
    <w:basedOn w:val="a"/>
    <w:link w:val="a6"/>
    <w:uiPriority w:val="99"/>
    <w:unhideWhenUsed/>
    <w:rsid w:val="00301AA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01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0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rsid w:val="00301AAF"/>
    <w:rPr>
      <w:b/>
      <w:bCs/>
    </w:rPr>
  </w:style>
  <w:style w:type="table" w:styleId="ad">
    <w:name w:val="Table Grid"/>
    <w:basedOn w:val="a1"/>
    <w:uiPriority w:val="59"/>
    <w:rsid w:val="00301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uiPriority w:val="99"/>
    <w:unhideWhenUsed/>
    <w:rsid w:val="00301AAF"/>
    <w:rPr>
      <w:color w:val="800080"/>
      <w:u w:val="single"/>
    </w:rPr>
  </w:style>
  <w:style w:type="character" w:styleId="af">
    <w:name w:val="Hyperlink"/>
    <w:uiPriority w:val="99"/>
    <w:unhideWhenUsed/>
    <w:qFormat/>
    <w:rsid w:val="00301AAF"/>
    <w:rPr>
      <w:color w:val="0000FF"/>
      <w:u w:val="single"/>
    </w:rPr>
  </w:style>
  <w:style w:type="character" w:styleId="af0">
    <w:name w:val="annotation reference"/>
    <w:uiPriority w:val="99"/>
    <w:unhideWhenUsed/>
    <w:rsid w:val="00301AAF"/>
    <w:rPr>
      <w:sz w:val="21"/>
      <w:szCs w:val="21"/>
    </w:rPr>
  </w:style>
  <w:style w:type="character" w:customStyle="1" w:styleId="ac">
    <w:name w:val="批注主题 字符"/>
    <w:link w:val="ab"/>
    <w:uiPriority w:val="99"/>
    <w:semiHidden/>
    <w:rsid w:val="00301AAF"/>
    <w:rPr>
      <w:b/>
      <w:bCs/>
      <w:kern w:val="2"/>
      <w:sz w:val="21"/>
      <w:szCs w:val="22"/>
    </w:rPr>
  </w:style>
  <w:style w:type="character" w:customStyle="1" w:styleId="a4">
    <w:name w:val="批注文字 字符"/>
    <w:link w:val="a3"/>
    <w:uiPriority w:val="99"/>
    <w:semiHidden/>
    <w:rsid w:val="00301AAF"/>
    <w:rPr>
      <w:kern w:val="2"/>
      <w:sz w:val="21"/>
      <w:szCs w:val="22"/>
    </w:rPr>
  </w:style>
  <w:style w:type="character" w:customStyle="1" w:styleId="a8">
    <w:name w:val="页脚 字符"/>
    <w:link w:val="a7"/>
    <w:uiPriority w:val="99"/>
    <w:semiHidden/>
    <w:rsid w:val="00301AAF"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301AAF"/>
    <w:rPr>
      <w:sz w:val="18"/>
      <w:szCs w:val="18"/>
    </w:rPr>
  </w:style>
  <w:style w:type="character" w:customStyle="1" w:styleId="aa">
    <w:name w:val="页眉 字符"/>
    <w:link w:val="a9"/>
    <w:uiPriority w:val="99"/>
    <w:rsid w:val="00301AAF"/>
    <w:rPr>
      <w:sz w:val="18"/>
      <w:szCs w:val="18"/>
    </w:rPr>
  </w:style>
  <w:style w:type="paragraph" w:customStyle="1" w:styleId="1">
    <w:name w:val="列出段落1"/>
    <w:aliases w:val="List Paragraph"/>
    <w:basedOn w:val="a"/>
    <w:uiPriority w:val="34"/>
    <w:qFormat/>
    <w:rsid w:val="00301AAF"/>
    <w:pPr>
      <w:ind w:firstLineChars="200" w:firstLine="420"/>
    </w:pPr>
  </w:style>
  <w:style w:type="paragraph" w:customStyle="1" w:styleId="MISSN">
    <w:name w:val="M_ISSN"/>
    <w:basedOn w:val="a"/>
    <w:qFormat/>
    <w:rsid w:val="00301AAF"/>
    <w:pPr>
      <w:widowControl/>
      <w:spacing w:after="520" w:line="340" w:lineRule="atLeast"/>
      <w:jc w:val="right"/>
    </w:pPr>
    <w:rPr>
      <w:rFonts w:ascii="Times New Roman" w:eastAsia="Times New Roman" w:hAnsi="Times New Roman"/>
      <w:color w:val="000000"/>
      <w:kern w:val="0"/>
      <w:sz w:val="24"/>
      <w:szCs w:val="20"/>
      <w:lang w:eastAsia="de-DE"/>
    </w:rPr>
  </w:style>
  <w:style w:type="table" w:customStyle="1" w:styleId="10">
    <w:name w:val="浅色底纹1"/>
    <w:basedOn w:val="a1"/>
    <w:uiPriority w:val="60"/>
    <w:rsid w:val="00301AAF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customStyle="1" w:styleId="EndNoteBibliography">
    <w:name w:val="EndNote Bibliography"/>
    <w:basedOn w:val="a"/>
    <w:link w:val="EndNoteBibliography0"/>
    <w:qFormat/>
    <w:rsid w:val="001D1AD3"/>
    <w:rPr>
      <w:rFonts w:cs="Calibri"/>
      <w:sz w:val="20"/>
      <w:szCs w:val="21"/>
    </w:rPr>
  </w:style>
  <w:style w:type="character" w:customStyle="1" w:styleId="EndNoteBibliography0">
    <w:name w:val="EndNote Bibliography 字符"/>
    <w:basedOn w:val="a0"/>
    <w:link w:val="EndNoteBibliography"/>
    <w:qFormat/>
    <w:rsid w:val="001D1AD3"/>
    <w:rPr>
      <w:rFonts w:cs="Calibri"/>
      <w:kern w:val="2"/>
      <w:szCs w:val="21"/>
    </w:rPr>
  </w:style>
  <w:style w:type="paragraph" w:styleId="af1">
    <w:name w:val="List Paragraph"/>
    <w:basedOn w:val="a"/>
    <w:uiPriority w:val="99"/>
    <w:qFormat/>
    <w:rsid w:val="00DC3F45"/>
    <w:pPr>
      <w:ind w:firstLineChars="200" w:firstLine="420"/>
    </w:pPr>
    <w:rPr>
      <w:szCs w:val="21"/>
    </w:rPr>
  </w:style>
  <w:style w:type="paragraph" w:styleId="af2">
    <w:name w:val="Revision"/>
    <w:hidden/>
    <w:uiPriority w:val="99"/>
    <w:semiHidden/>
    <w:rsid w:val="00D8678B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625\Documents\0%20&#35838;&#39064;\7%20&#22919;&#31185;&#32959;&#30244;\0%20&#25968;&#25454;&#20998;&#26512;&#32467;&#26524;\00%20&#36820;&#20462;&#27719;&#24635;\MBE-3632%20-%20supplementary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MBE-3632 - supplementary</Template>
  <TotalTime>27</TotalTime>
  <Pages>5</Pages>
  <Words>448</Words>
  <Characters>2554</Characters>
  <Application>Microsoft Office Word</Application>
  <DocSecurity>0</DocSecurity>
  <Lines>21</Lines>
  <Paragraphs>5</Paragraphs>
  <ScaleCrop>false</ScaleCrop>
  <Company>微软中国</Company>
  <LinksUpToDate>false</LinksUpToDate>
  <CharactersWithSpaces>2997</CharactersWithSpaces>
  <SharedDoc>false</SharedDoc>
  <HLinks>
    <vt:vector size="30" baseType="variant">
      <vt:variant>
        <vt:i4>2621489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http://www.ncbi.nlm.nih.gov/books/NBK7256/</vt:lpwstr>
      </vt:variant>
      <vt:variant>
        <vt:lpwstr/>
      </vt:variant>
      <vt:variant>
        <vt:i4>4</vt:i4>
      </vt:variant>
      <vt:variant>
        <vt:i4>21</vt:i4>
      </vt:variant>
      <vt:variant>
        <vt:i4>0</vt:i4>
      </vt:variant>
      <vt:variant>
        <vt:i4>5</vt:i4>
      </vt:variant>
      <vt:variant>
        <vt:lpwstr>https://doi.org/10.1090/S0894-0347-1992-1124979-1</vt:lpwstr>
      </vt:variant>
      <vt:variant>
        <vt:lpwstr/>
      </vt:variant>
      <vt:variant>
        <vt:i4>852064</vt:i4>
      </vt:variant>
      <vt:variant>
        <vt:i4>6</vt:i4>
      </vt:variant>
      <vt:variant>
        <vt:i4>0</vt:i4>
      </vt:variant>
      <vt:variant>
        <vt:i4>5</vt:i4>
      </vt:variant>
      <vt:variant>
        <vt:lpwstr>E:\aims\agri\www.icmje.org</vt:lpwstr>
      </vt:variant>
      <vt:variant>
        <vt:lpwstr/>
      </vt:variant>
      <vt:variant>
        <vt:i4>2490473</vt:i4>
      </vt:variant>
      <vt:variant>
        <vt:i4>3</vt:i4>
      </vt:variant>
      <vt:variant>
        <vt:i4>0</vt:i4>
      </vt:variant>
      <vt:variant>
        <vt:i4>5</vt:i4>
      </vt:variant>
      <vt:variant>
        <vt:lpwstr>http://www.who.int/ictrp/en</vt:lpwstr>
      </vt:variant>
      <vt:variant>
        <vt:lpwstr/>
      </vt:variant>
      <vt:variant>
        <vt:i4>2293810</vt:i4>
      </vt:variant>
      <vt:variant>
        <vt:i4>0</vt:i4>
      </vt:variant>
      <vt:variant>
        <vt:i4>0</vt:i4>
      </vt:variant>
      <vt:variant>
        <vt:i4>5</vt:i4>
      </vt:variant>
      <vt:variant>
        <vt:lpwstr>http://www.aimspress.com/news/51.html</vt:lpwstr>
      </vt:variant>
      <vt:variant>
        <vt:lpwstr>Ethics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何艳</dc:creator>
  <cp:lastModifiedBy>XIONG YINGQI</cp:lastModifiedBy>
  <cp:revision>8</cp:revision>
  <dcterms:created xsi:type="dcterms:W3CDTF">2023-03-22T03:47:00Z</dcterms:created>
  <dcterms:modified xsi:type="dcterms:W3CDTF">2023-03-31T08:18:00Z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