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FCF387" w14:textId="77777777" w:rsidR="0006646B" w:rsidRDefault="00000000" w:rsidP="00672ECD">
      <w:pPr>
        <w:spacing w:beforeLines="100" w:before="312" w:afterLines="100" w:after="312" w:line="300" w:lineRule="atLeast"/>
        <w:rPr>
          <w:sz w:val="22"/>
          <w:szCs w:val="22"/>
        </w:rPr>
      </w:pPr>
      <w:r>
        <w:rPr>
          <w:rFonts w:hint="eastAsia"/>
          <w:noProof/>
          <w:sz w:val="22"/>
          <w:szCs w:val="22"/>
        </w:rPr>
        <w:drawing>
          <wp:inline distT="0" distB="0" distL="114300" distR="114300" wp14:anchorId="5B03455D" wp14:editId="2788DEE6">
            <wp:extent cx="5270500" cy="4702175"/>
            <wp:effectExtent l="0" t="0" r="0" b="9525"/>
            <wp:docPr id="1" name="图片 1" descr="Supplemetary Fig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tary Fig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78265" w14:textId="77777777" w:rsidR="0006646B" w:rsidRDefault="00000000" w:rsidP="00672ECD">
      <w:pPr>
        <w:spacing w:beforeLines="100" w:before="312" w:afterLines="100" w:after="312" w:line="300" w:lineRule="atLeast"/>
        <w:jc w:val="center"/>
        <w:rPr>
          <w:sz w:val="22"/>
          <w:szCs w:val="22"/>
        </w:rPr>
      </w:pP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2"/>
          <w:szCs w:val="22"/>
          <w:lang w:bidi="ar"/>
        </w:rPr>
        <w:t>S</w:t>
      </w: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>1</w:t>
      </w:r>
      <w:r>
        <w:rPr>
          <w:rFonts w:ascii="Times New Roman" w:eastAsia="宋体" w:hAnsi="Times New Roman" w:cs="Times New Roman"/>
          <w:b/>
          <w:bCs/>
          <w:sz w:val="22"/>
          <w:szCs w:val="22"/>
          <w:lang w:bidi="ar"/>
        </w:rPr>
        <w:t>.</w:t>
      </w:r>
      <w:r>
        <w:rPr>
          <w:rFonts w:ascii="Times New Roman" w:eastAsia="宋体" w:hAnsi="Times New Roman" w:cs="Times New Roman" w:hint="eastAsia"/>
          <w:b/>
          <w:bCs/>
          <w:sz w:val="22"/>
          <w:szCs w:val="22"/>
          <w:lang w:bidi="ar"/>
        </w:rPr>
        <w:t xml:space="preserve"> </w:t>
      </w:r>
      <w:r>
        <w:rPr>
          <w:rFonts w:ascii="Times New Roman" w:hAnsi="Times New Roman" w:cs="Times New Roman" w:hint="eastAsia"/>
          <w:sz w:val="22"/>
          <w:szCs w:val="22"/>
        </w:rPr>
        <w:t>Workflow of the present study.</w:t>
      </w:r>
    </w:p>
    <w:p w14:paraId="01F23C61" w14:textId="77777777" w:rsidR="0006646B" w:rsidRDefault="00000000" w:rsidP="00672ECD">
      <w:pPr>
        <w:spacing w:beforeLines="100" w:before="312" w:afterLines="100" w:after="312" w:line="300" w:lineRule="atLeast"/>
        <w:rPr>
          <w:sz w:val="22"/>
          <w:szCs w:val="22"/>
        </w:rPr>
      </w:pPr>
      <w:r>
        <w:rPr>
          <w:rFonts w:hint="eastAsia"/>
          <w:noProof/>
          <w:sz w:val="22"/>
          <w:szCs w:val="22"/>
        </w:rPr>
        <w:lastRenderedPageBreak/>
        <w:drawing>
          <wp:inline distT="0" distB="0" distL="114300" distR="114300" wp14:anchorId="48DBD66D" wp14:editId="34BDE845">
            <wp:extent cx="5270500" cy="7138035"/>
            <wp:effectExtent l="0" t="0" r="0" b="12065"/>
            <wp:docPr id="5" name="图片 5" descr="Supplementary Fig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upplementary Figure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3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306FE" w14:textId="77777777" w:rsidR="0006646B" w:rsidRDefault="00000000" w:rsidP="00672ECD">
      <w:pPr>
        <w:spacing w:beforeLines="100" w:before="312" w:afterLines="100" w:after="312" w:line="300" w:lineRule="atLeast"/>
        <w:ind w:left="567" w:right="567"/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</w:pP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2"/>
          <w:szCs w:val="22"/>
          <w:lang w:bidi="ar"/>
        </w:rPr>
        <w:t>S2</w:t>
      </w: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>.</w:t>
      </w:r>
      <w:r>
        <w:rPr>
          <w:rFonts w:ascii="Times New Roman" w:eastAsia="宋体" w:hAnsi="Times New Roman" w:cs="Times New Roman" w:hint="eastAsia"/>
          <w:b/>
          <w:bCs/>
          <w:color w:val="000000"/>
          <w:sz w:val="22"/>
          <w:szCs w:val="22"/>
          <w:lang w:bidi="ar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>(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>A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>)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 Heatmap shows the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 xml:space="preserve"> 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expression 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 xml:space="preserve">patterns 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of inflammasome features in SKCM and normal samples. 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>(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>B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>)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 The correlations between inflammasome feature levels and clinical characteristics, with samples sorted in ascending order based on inflammasome expression levels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>. (C) The violin plot illustrates the differences in the expression levels of inflammasome features among different groups of clinical characteristics.</w:t>
      </w:r>
    </w:p>
    <w:p w14:paraId="20300922" w14:textId="77777777" w:rsidR="0006646B" w:rsidRDefault="00000000" w:rsidP="00672ECD">
      <w:pPr>
        <w:spacing w:line="300" w:lineRule="atLeast"/>
        <w:rPr>
          <w:sz w:val="22"/>
          <w:szCs w:val="22"/>
        </w:rPr>
      </w:pPr>
      <w:r>
        <w:rPr>
          <w:rFonts w:hint="eastAsia"/>
          <w:noProof/>
          <w:sz w:val="22"/>
          <w:szCs w:val="22"/>
        </w:rPr>
        <w:lastRenderedPageBreak/>
        <w:drawing>
          <wp:inline distT="0" distB="0" distL="114300" distR="114300" wp14:anchorId="74845C48" wp14:editId="14D51F5C">
            <wp:extent cx="5268595" cy="1440815"/>
            <wp:effectExtent l="0" t="0" r="1905" b="6985"/>
            <wp:docPr id="4" name="图片 4" descr="Supplementary Fig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upplementary Figure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4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B1313" w14:textId="77777777" w:rsidR="0006646B" w:rsidRDefault="00000000" w:rsidP="00672ECD">
      <w:pPr>
        <w:spacing w:beforeLines="100" w:before="312" w:afterLines="100" w:after="312" w:line="300" w:lineRule="atLeast"/>
        <w:ind w:left="567" w:right="567"/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</w:pP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2"/>
          <w:szCs w:val="22"/>
          <w:lang w:bidi="ar"/>
        </w:rPr>
        <w:t>S3</w:t>
      </w: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>.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 The forest plot illustrates 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 xml:space="preserve">the 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results of </w:t>
      </w:r>
      <w:proofErr w:type="spellStart"/>
      <w:r>
        <w:rPr>
          <w:rFonts w:ascii="Times New Roman" w:eastAsia="AdvOT3b30f6db . B" w:hAnsi="Times New Roman" w:cs="Times New Roman"/>
          <w:color w:val="000000"/>
          <w:sz w:val="22"/>
          <w:szCs w:val="22"/>
          <w:lang w:bidi="ar"/>
        </w:rPr>
        <w:t>uni</w:t>
      </w:r>
      <w:proofErr w:type="spellEnd"/>
      <w:r>
        <w:rPr>
          <w:rFonts w:ascii="Times New Roman" w:eastAsia="AdvOT3b30f6db . B" w:hAnsi="Times New Roman" w:cs="Times New Roman"/>
          <w:color w:val="000000"/>
          <w:sz w:val="22"/>
          <w:szCs w:val="22"/>
          <w:lang w:bidi="ar"/>
        </w:rPr>
        <w:t>-variate Cox regression</w:t>
      </w:r>
      <w:r>
        <w:rPr>
          <w:rFonts w:ascii="Times New Roman" w:eastAsia="AdvOT3b30f6db . B" w:hAnsi="Times New Roman" w:cs="Times New Roman" w:hint="eastAsia"/>
          <w:color w:val="000000"/>
          <w:sz w:val="22"/>
          <w:szCs w:val="22"/>
          <w:lang w:bidi="ar"/>
        </w:rPr>
        <w:t>. Yellow squares represent significant, gray dots represent insignificant. Gray lines represent confidence intervals.</w:t>
      </w:r>
    </w:p>
    <w:p w14:paraId="70ADB00B" w14:textId="77777777" w:rsidR="0006646B" w:rsidRDefault="00000000" w:rsidP="00672ECD">
      <w:pPr>
        <w:spacing w:beforeLines="100" w:before="312" w:afterLines="100" w:after="312" w:line="300" w:lineRule="atLeast"/>
        <w:rPr>
          <w:sz w:val="22"/>
          <w:szCs w:val="22"/>
        </w:rPr>
      </w:pPr>
      <w:r>
        <w:rPr>
          <w:rFonts w:hint="eastAsia"/>
          <w:noProof/>
          <w:sz w:val="22"/>
          <w:szCs w:val="22"/>
        </w:rPr>
        <w:drawing>
          <wp:inline distT="0" distB="0" distL="114300" distR="114300" wp14:anchorId="4F20C0CC" wp14:editId="36912AAD">
            <wp:extent cx="5267960" cy="3260090"/>
            <wp:effectExtent l="0" t="0" r="2540" b="3810"/>
            <wp:docPr id="3" name="图片 3" descr="Supplementary Figur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upplementary Figure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795D3" w14:textId="77777777" w:rsidR="0006646B" w:rsidRDefault="00000000" w:rsidP="00672ECD">
      <w:pPr>
        <w:spacing w:beforeLines="100" w:before="312" w:afterLines="100" w:after="312" w:line="300" w:lineRule="atLeast"/>
        <w:ind w:left="567" w:right="567"/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</w:pP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2"/>
          <w:szCs w:val="22"/>
          <w:lang w:bidi="ar"/>
        </w:rPr>
        <w:t>S4</w:t>
      </w: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>.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 The heatmap shows the </w:t>
      </w:r>
      <w:r>
        <w:rPr>
          <w:rFonts w:ascii="Times New Roman" w:eastAsia="AdvOT3b30f6db . B" w:hAnsi="Times New Roman" w:cs="Times New Roman"/>
          <w:color w:val="000000"/>
          <w:sz w:val="22"/>
          <w:szCs w:val="22"/>
          <w:lang w:bidi="ar"/>
        </w:rPr>
        <w:t xml:space="preserve">enrichment 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levels of </w:t>
      </w:r>
      <w:r>
        <w:rPr>
          <w:rFonts w:ascii="Times New Roman" w:eastAsia="宋体" w:hAnsi="Times New Roman" w:cs="Times New Roman" w:hint="eastAsia"/>
          <w:color w:val="000000"/>
          <w:sz w:val="22"/>
          <w:szCs w:val="22"/>
          <w:lang w:bidi="ar"/>
        </w:rPr>
        <w:t xml:space="preserve">dysregulated 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oncogenic pathways and cancer hallmark gene sets in the high/low IM score </w:t>
      </w:r>
      <w:r>
        <w:rPr>
          <w:rFonts w:ascii="Times New Roman" w:eastAsia="AdvOT3b30f6db . B" w:hAnsi="Times New Roman" w:cs="Times New Roman"/>
          <w:color w:val="000000"/>
          <w:sz w:val="22"/>
          <w:szCs w:val="22"/>
          <w:lang w:bidi="ar"/>
        </w:rPr>
        <w:t>subgroup</w:t>
      </w:r>
      <w:r>
        <w:rPr>
          <w:rFonts w:ascii="Times New Roman" w:eastAsia="AdvOT3b30f6db . B" w:hAnsi="Times New Roman" w:cs="Times New Roman" w:hint="eastAsia"/>
          <w:color w:val="000000"/>
          <w:sz w:val="22"/>
          <w:szCs w:val="22"/>
          <w:lang w:bidi="ar"/>
        </w:rPr>
        <w:t>.</w:t>
      </w:r>
    </w:p>
    <w:p w14:paraId="1F4B94FF" w14:textId="77777777" w:rsidR="0006646B" w:rsidRDefault="00000000" w:rsidP="00672ECD">
      <w:pPr>
        <w:spacing w:line="300" w:lineRule="atLeast"/>
        <w:rPr>
          <w:sz w:val="22"/>
          <w:szCs w:val="22"/>
        </w:rPr>
      </w:pPr>
      <w:r>
        <w:rPr>
          <w:rFonts w:hint="eastAsia"/>
          <w:noProof/>
          <w:sz w:val="22"/>
          <w:szCs w:val="22"/>
        </w:rPr>
        <w:lastRenderedPageBreak/>
        <w:drawing>
          <wp:inline distT="0" distB="0" distL="114300" distR="114300" wp14:anchorId="7A1EFD25" wp14:editId="11E26D87">
            <wp:extent cx="5268595" cy="2684780"/>
            <wp:effectExtent l="0" t="0" r="1905" b="7620"/>
            <wp:docPr id="2" name="图片 2" descr="Supplementary Figur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ry Figure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FD035" w14:textId="77777777" w:rsidR="0006646B" w:rsidRDefault="00000000" w:rsidP="00672ECD">
      <w:pPr>
        <w:spacing w:beforeLines="100" w:before="312" w:afterLines="100" w:after="312" w:line="300" w:lineRule="atLeast"/>
        <w:ind w:left="567" w:right="567"/>
        <w:rPr>
          <w:sz w:val="22"/>
          <w:szCs w:val="22"/>
        </w:rPr>
      </w:pP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2"/>
          <w:szCs w:val="22"/>
          <w:lang w:bidi="ar"/>
        </w:rPr>
        <w:t>S5</w:t>
      </w:r>
      <w:r>
        <w:rPr>
          <w:rFonts w:ascii="Times New Roman" w:eastAsia="宋体" w:hAnsi="Times New Roman" w:cs="Times New Roman"/>
          <w:b/>
          <w:bCs/>
          <w:color w:val="000000"/>
          <w:sz w:val="22"/>
          <w:szCs w:val="22"/>
          <w:lang w:bidi="ar"/>
        </w:rPr>
        <w:t>.</w:t>
      </w:r>
      <w:r>
        <w:rPr>
          <w:rFonts w:ascii="Times New Roman" w:eastAsia="宋体" w:hAnsi="Times New Roman" w:cs="Times New Roman"/>
          <w:color w:val="000000"/>
          <w:sz w:val="22"/>
          <w:szCs w:val="22"/>
          <w:lang w:bidi="ar"/>
        </w:rPr>
        <w:t xml:space="preserve"> </w:t>
      </w:r>
      <w:r>
        <w:rPr>
          <w:rFonts w:ascii="Times New Roman" w:eastAsia="AdvOT3b30f6db . B" w:hAnsi="Times New Roman" w:cs="Times New Roman" w:hint="eastAsia"/>
          <w:color w:val="000000"/>
          <w:sz w:val="22"/>
          <w:szCs w:val="22"/>
          <w:lang w:bidi="ar"/>
        </w:rPr>
        <w:t xml:space="preserve">The violin plot illustrates the differences in the </w:t>
      </w:r>
      <w:r>
        <w:rPr>
          <w:rFonts w:ascii="Times New Roman" w:eastAsia="AdvOT3b30f6db . B" w:hAnsi="Times New Roman" w:cs="Times New Roman"/>
          <w:color w:val="000000"/>
          <w:sz w:val="22"/>
          <w:szCs w:val="22"/>
          <w:lang w:bidi="ar"/>
        </w:rPr>
        <w:t xml:space="preserve">enrichment </w:t>
      </w:r>
      <w:r>
        <w:rPr>
          <w:rFonts w:ascii="Times New Roman" w:eastAsia="AdvOT3b30f6db . B" w:hAnsi="Times New Roman" w:cs="Times New Roman" w:hint="eastAsia"/>
          <w:color w:val="000000"/>
          <w:sz w:val="22"/>
          <w:szCs w:val="22"/>
          <w:lang w:bidi="ar"/>
        </w:rPr>
        <w:t>levels of 29 TIME signatures among four immune clusters.</w:t>
      </w:r>
    </w:p>
    <w:sectPr w:rsidR="0006646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dvOT3b30f6db . B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zkzYTkzNzUzNzZlOTZiNDNjYjViOTRiNjRmZmQ5OTcifQ=="/>
  </w:docVars>
  <w:rsids>
    <w:rsidRoot w:val="0006646B"/>
    <w:rsid w:val="0006646B"/>
    <w:rsid w:val="00672ECD"/>
    <w:rsid w:val="1DC40DE0"/>
    <w:rsid w:val="458022F3"/>
    <w:rsid w:val="528E19DF"/>
    <w:rsid w:val="62D45CF7"/>
    <w:rsid w:val="657267A4"/>
    <w:rsid w:val="669B2BD8"/>
    <w:rsid w:val="6A0B39C9"/>
    <w:rsid w:val="701A26DD"/>
    <w:rsid w:val="71600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4B9A7CF"/>
  <w15:docId w15:val="{A7632999-F257-4D52-BE03-1D665051F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142</Words>
  <Characters>812</Characters>
  <Application>Microsoft Office Word</Application>
  <DocSecurity>0</DocSecurity>
  <Lines>6</Lines>
  <Paragraphs>1</Paragraphs>
  <ScaleCrop>false</ScaleCrop>
  <Company/>
  <LinksUpToDate>false</LinksUpToDate>
  <CharactersWithSpaces>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ErinW</dc:creator>
  <cp:lastModifiedBy>jh s</cp:lastModifiedBy>
  <cp:revision>2</cp:revision>
  <dcterms:created xsi:type="dcterms:W3CDTF">2023-08-09T17:13:00Z</dcterms:created>
  <dcterms:modified xsi:type="dcterms:W3CDTF">2023-11-01T07:35:00Z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514E681C7DF747468E759318EF465304_12</vt:lpwstr>
  </property>
</Properties>
</file>