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C7E52" w14:textId="77777777" w:rsidR="00C81F4A" w:rsidRDefault="00C81F4A" w:rsidP="00C81F4A">
      <w:pPr>
        <w:ind w:left="6973"/>
        <w:jc w:val="left"/>
        <w:textAlignment w:val="top"/>
        <w:rPr>
          <w:rFonts w:ascii="Times New Roman" w:hAnsi="Times New Roman"/>
          <w:sz w:val="22"/>
        </w:rPr>
      </w:pPr>
      <w:r w:rsidRPr="0026546F">
        <w:rPr>
          <w:noProof/>
        </w:rPr>
        <w:drawing>
          <wp:anchor distT="0" distB="0" distL="114300" distR="114300" simplePos="0" relativeHeight="251659264" behindDoc="0" locked="0" layoutInCell="1" allowOverlap="1" wp14:anchorId="3EDFCEEC" wp14:editId="2B11F96B">
            <wp:simplePos x="0" y="0"/>
            <wp:positionH relativeFrom="column">
              <wp:posOffset>59055</wp:posOffset>
            </wp:positionH>
            <wp:positionV relativeFrom="paragraph">
              <wp:posOffset>59690</wp:posOffset>
            </wp:positionV>
            <wp:extent cx="2981960" cy="595630"/>
            <wp:effectExtent l="0" t="0" r="0" b="0"/>
            <wp:wrapNone/>
            <wp:docPr id="3" name="Picture 1" descr="C:\Users\Administrator\Desktop\logo-MBE.pnglogo-M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-MBE.pnglogo-M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46F">
        <w:rPr>
          <w:rFonts w:ascii="Times New Roman" w:hAnsi="Times New Roman"/>
          <w:sz w:val="22"/>
        </w:rPr>
        <w:t>MBE</w:t>
      </w:r>
      <w:r w:rsidRPr="0026546F">
        <w:rPr>
          <w:rFonts w:ascii="Times New Roman" w:hAnsi="Times New Roman" w:hint="eastAsia"/>
          <w:sz w:val="22"/>
        </w:rPr>
        <w:t xml:space="preserve">, </w:t>
      </w:r>
      <w:r>
        <w:rPr>
          <w:rFonts w:ascii="Times New Roman" w:hAnsi="Times New Roman"/>
          <w:sz w:val="22"/>
        </w:rPr>
        <w:t>19</w:t>
      </w:r>
      <w:r w:rsidRPr="0026546F">
        <w:rPr>
          <w:rFonts w:ascii="Times New Roman" w:hAnsi="Times New Roman"/>
          <w:sz w:val="22"/>
        </w:rPr>
        <w:t xml:space="preserve"> </w:t>
      </w:r>
      <w:r w:rsidRPr="0026546F">
        <w:rPr>
          <w:rFonts w:ascii="Times New Roman" w:hAnsi="Times New Roman" w:hint="eastAsia"/>
          <w:sz w:val="22"/>
        </w:rPr>
        <w:t>(</w:t>
      </w:r>
      <w:r>
        <w:rPr>
          <w:rFonts w:ascii="Times New Roman" w:hAnsi="Times New Roman"/>
          <w:sz w:val="22"/>
        </w:rPr>
        <w:t>8</w:t>
      </w:r>
      <w:r w:rsidRPr="0026546F">
        <w:rPr>
          <w:rFonts w:ascii="Times New Roman" w:hAnsi="Times New Roman" w:hint="eastAsia"/>
          <w:sz w:val="22"/>
        </w:rPr>
        <w:t>):</w:t>
      </w:r>
      <w:r w:rsidRPr="0026546F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8361–8379</w:t>
      </w:r>
      <w:r w:rsidRPr="0026546F">
        <w:rPr>
          <w:rFonts w:ascii="Times New Roman" w:hAnsi="Times New Roman"/>
          <w:sz w:val="22"/>
        </w:rPr>
        <w:t>.</w:t>
      </w:r>
      <w:r w:rsidRPr="0026546F">
        <w:rPr>
          <w:rFonts w:ascii="Times New Roman" w:hAnsi="Times New Roman" w:hint="eastAsia"/>
          <w:sz w:val="22"/>
        </w:rPr>
        <w:br/>
      </w:r>
      <w:r w:rsidRPr="0026546F">
        <w:rPr>
          <w:rFonts w:ascii="Times New Roman" w:hAnsi="Times New Roman"/>
          <w:sz w:val="22"/>
        </w:rPr>
        <w:t>DOI:</w:t>
      </w:r>
      <w:r>
        <w:rPr>
          <w:rFonts w:ascii="Times New Roman" w:hAnsi="Times New Roman"/>
          <w:sz w:val="22"/>
        </w:rPr>
        <w:t xml:space="preserve"> </w:t>
      </w:r>
      <w:r w:rsidRPr="000A0A6B">
        <w:rPr>
          <w:rFonts w:ascii="Times New Roman" w:hAnsi="Times New Roman"/>
          <w:sz w:val="22"/>
        </w:rPr>
        <w:t>10.3934/mbe.2022389</w:t>
      </w:r>
      <w:r w:rsidRPr="0026546F">
        <w:rPr>
          <w:rFonts w:ascii="Times New Roman" w:hAnsi="Times New Roman"/>
          <w:sz w:val="22"/>
        </w:rPr>
        <w:br/>
      </w:r>
      <w:r w:rsidRPr="0026546F">
        <w:rPr>
          <w:rFonts w:ascii="Times New Roman" w:hAnsi="Times New Roman" w:hint="eastAsia"/>
          <w:sz w:val="22"/>
        </w:rPr>
        <w:t>Received</w:t>
      </w:r>
      <w:r>
        <w:rPr>
          <w:rFonts w:ascii="Times New Roman" w:hAnsi="Times New Roman" w:hint="eastAsia"/>
          <w:sz w:val="22"/>
        </w:rPr>
        <w:t xml:space="preserve">: </w:t>
      </w:r>
      <w:r w:rsidRPr="004B431B">
        <w:rPr>
          <w:rFonts w:ascii="Times New Roman" w:hAnsi="Times New Roman"/>
          <w:sz w:val="22"/>
        </w:rPr>
        <w:t>21 March 2022</w:t>
      </w:r>
    </w:p>
    <w:p w14:paraId="6EF6F11E" w14:textId="77777777" w:rsidR="00C81F4A" w:rsidRPr="0026546F" w:rsidRDefault="00C81F4A" w:rsidP="00C81F4A">
      <w:pPr>
        <w:ind w:left="6973"/>
        <w:jc w:val="left"/>
        <w:textAlignment w:val="top"/>
        <w:rPr>
          <w:rFonts w:ascii="Times New Roman" w:hAnsi="Times New Roman"/>
          <w:sz w:val="22"/>
        </w:rPr>
      </w:pPr>
      <w:r w:rsidRPr="0026546F">
        <w:rPr>
          <w:rFonts w:ascii="Times New Roman" w:hAnsi="Times New Roman" w:hint="eastAsia"/>
          <w:sz w:val="22"/>
        </w:rPr>
        <w:t>Re</w:t>
      </w:r>
      <w:r>
        <w:rPr>
          <w:rFonts w:ascii="Times New Roman" w:hAnsi="Times New Roman"/>
          <w:sz w:val="22"/>
        </w:rPr>
        <w:t xml:space="preserve">vised: </w:t>
      </w:r>
      <w:r w:rsidRPr="004B431B">
        <w:rPr>
          <w:rFonts w:ascii="Times New Roman" w:hAnsi="Times New Roman"/>
          <w:sz w:val="22"/>
        </w:rPr>
        <w:t>06 May 2022</w:t>
      </w:r>
      <w:r w:rsidRPr="0026546F">
        <w:rPr>
          <w:rFonts w:ascii="Times New Roman" w:hAnsi="Times New Roman"/>
          <w:sz w:val="22"/>
        </w:rPr>
        <w:br/>
      </w:r>
      <w:r w:rsidRPr="0026546F">
        <w:rPr>
          <w:rFonts w:ascii="Times New Roman" w:hAnsi="Times New Roman" w:hint="eastAsia"/>
          <w:sz w:val="22"/>
        </w:rPr>
        <w:t>Accepted</w:t>
      </w:r>
      <w:r>
        <w:rPr>
          <w:rFonts w:ascii="Times New Roman" w:hAnsi="Times New Roman"/>
          <w:sz w:val="22"/>
        </w:rPr>
        <w:t xml:space="preserve">: </w:t>
      </w:r>
      <w:r w:rsidRPr="004B431B">
        <w:rPr>
          <w:rFonts w:ascii="Times New Roman" w:hAnsi="Times New Roman"/>
          <w:sz w:val="22"/>
        </w:rPr>
        <w:t>19 May 2022</w:t>
      </w:r>
      <w:r w:rsidRPr="0026546F">
        <w:rPr>
          <w:rFonts w:ascii="Times New Roman" w:hAnsi="Times New Roman"/>
          <w:sz w:val="22"/>
        </w:rPr>
        <w:br/>
      </w:r>
      <w:r w:rsidRPr="0026546F">
        <w:rPr>
          <w:rFonts w:ascii="Times New Roman" w:hAnsi="Times New Roman" w:hint="eastAsia"/>
          <w:sz w:val="22"/>
        </w:rPr>
        <w:t>Published</w:t>
      </w:r>
      <w:r>
        <w:rPr>
          <w:rFonts w:ascii="Times New Roman" w:hAnsi="Times New Roman"/>
          <w:sz w:val="22"/>
        </w:rPr>
        <w:t xml:space="preserve">: </w:t>
      </w:r>
      <w:r w:rsidRPr="000A0A6B">
        <w:rPr>
          <w:rFonts w:ascii="Times New Roman" w:hAnsi="Times New Roman"/>
          <w:sz w:val="22"/>
        </w:rPr>
        <w:t>09 June 2022</w:t>
      </w:r>
    </w:p>
    <w:p w14:paraId="128D0A3B" w14:textId="77777777" w:rsidR="00C81F4A" w:rsidRPr="0026546F" w:rsidRDefault="00C81F4A" w:rsidP="00C81F4A">
      <w:pPr>
        <w:rPr>
          <w:rFonts w:ascii="Times New Roman" w:hAnsi="Times New Roman"/>
          <w:sz w:val="22"/>
        </w:rPr>
      </w:pPr>
      <w:r w:rsidRPr="0026546F">
        <w:rPr>
          <w:rFonts w:ascii="Times New Roman" w:hAnsi="Times New Roman"/>
          <w:sz w:val="22"/>
        </w:rPr>
        <w:t>http://www.aimspress.com/journal/MBE</w:t>
      </w:r>
    </w:p>
    <w:p w14:paraId="47CE3680" w14:textId="77777777" w:rsidR="00C81F4A" w:rsidRPr="0026546F" w:rsidRDefault="00C81F4A" w:rsidP="00C81F4A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4D0DA7C3" w14:textId="77777777" w:rsidR="00C81F4A" w:rsidRPr="0026546F" w:rsidRDefault="00C81F4A" w:rsidP="00C81F4A">
      <w:pPr>
        <w:spacing w:beforeLines="100" w:before="332" w:line="300" w:lineRule="atLeast"/>
        <w:jc w:val="left"/>
        <w:rPr>
          <w:rFonts w:ascii="Times New Roman" w:hAnsi="Times New Roman"/>
          <w:b/>
          <w:i/>
          <w:sz w:val="24"/>
          <w:szCs w:val="24"/>
        </w:rPr>
      </w:pPr>
      <w:r w:rsidRPr="0026546F">
        <w:rPr>
          <w:rFonts w:ascii="Times New Roman" w:hAnsi="Times New Roman"/>
          <w:b/>
          <w:i/>
          <w:sz w:val="24"/>
          <w:szCs w:val="24"/>
        </w:rPr>
        <w:t>Research article</w:t>
      </w:r>
    </w:p>
    <w:p w14:paraId="1FE9C6D3" w14:textId="77777777" w:rsidR="00C81F4A" w:rsidRPr="0026546F" w:rsidRDefault="00C81F4A" w:rsidP="00C81F4A">
      <w:pPr>
        <w:rPr>
          <w:rFonts w:ascii="Times New Roman" w:hAnsi="Times New Roman"/>
          <w:b/>
          <w:sz w:val="32"/>
          <w:szCs w:val="32"/>
        </w:rPr>
      </w:pPr>
      <w:bookmarkStart w:id="0" w:name="_Hlk76820669"/>
      <w:r w:rsidRPr="00276DF4">
        <w:rPr>
          <w:rFonts w:ascii="Times New Roman" w:hAnsi="Times New Roman"/>
          <w:b/>
          <w:sz w:val="32"/>
          <w:szCs w:val="32"/>
        </w:rPr>
        <w:t xml:space="preserve">TRPV1 is a </w:t>
      </w:r>
      <w:r>
        <w:rPr>
          <w:rFonts w:ascii="Times New Roman" w:hAnsi="Times New Roman"/>
          <w:b/>
          <w:sz w:val="32"/>
          <w:szCs w:val="32"/>
        </w:rPr>
        <w:t>potential</w:t>
      </w:r>
      <w:r w:rsidRPr="00276DF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b</w:t>
      </w:r>
      <w:r w:rsidRPr="00276DF4">
        <w:rPr>
          <w:rFonts w:ascii="Times New Roman" w:hAnsi="Times New Roman"/>
          <w:b/>
          <w:sz w:val="32"/>
          <w:szCs w:val="32"/>
        </w:rPr>
        <w:t xml:space="preserve">iomarker for the </w:t>
      </w:r>
      <w:r>
        <w:rPr>
          <w:rFonts w:ascii="Times New Roman" w:hAnsi="Times New Roman"/>
          <w:b/>
          <w:sz w:val="32"/>
          <w:szCs w:val="32"/>
        </w:rPr>
        <w:t>p</w:t>
      </w:r>
      <w:r w:rsidRPr="00276DF4">
        <w:rPr>
          <w:rFonts w:ascii="Times New Roman" w:hAnsi="Times New Roman"/>
          <w:b/>
          <w:sz w:val="32"/>
          <w:szCs w:val="32"/>
        </w:rPr>
        <w:t xml:space="preserve">rediction and </w:t>
      </w:r>
      <w:r>
        <w:rPr>
          <w:rFonts w:ascii="Times New Roman" w:hAnsi="Times New Roman"/>
          <w:b/>
          <w:sz w:val="32"/>
          <w:szCs w:val="32"/>
        </w:rPr>
        <w:t>t</w:t>
      </w:r>
      <w:r w:rsidRPr="00276DF4">
        <w:rPr>
          <w:rFonts w:ascii="Times New Roman" w:hAnsi="Times New Roman"/>
          <w:b/>
          <w:sz w:val="32"/>
          <w:szCs w:val="32"/>
        </w:rPr>
        <w:t xml:space="preserve">reatment of </w:t>
      </w:r>
      <w:r>
        <w:rPr>
          <w:rFonts w:ascii="Times New Roman" w:hAnsi="Times New Roman"/>
          <w:b/>
          <w:sz w:val="32"/>
          <w:szCs w:val="32"/>
        </w:rPr>
        <w:t>m</w:t>
      </w:r>
      <w:r w:rsidRPr="00276DF4">
        <w:rPr>
          <w:rFonts w:ascii="Times New Roman" w:hAnsi="Times New Roman"/>
          <w:b/>
          <w:sz w:val="32"/>
          <w:szCs w:val="32"/>
        </w:rPr>
        <w:t xml:space="preserve">ultiple </w:t>
      </w:r>
      <w:r>
        <w:rPr>
          <w:rFonts w:ascii="Times New Roman" w:hAnsi="Times New Roman"/>
          <w:b/>
          <w:sz w:val="32"/>
          <w:szCs w:val="32"/>
        </w:rPr>
        <w:t>c</w:t>
      </w:r>
      <w:r w:rsidRPr="00276DF4">
        <w:rPr>
          <w:rFonts w:ascii="Times New Roman" w:hAnsi="Times New Roman"/>
          <w:b/>
          <w:sz w:val="32"/>
          <w:szCs w:val="32"/>
        </w:rPr>
        <w:t>ancer</w:t>
      </w:r>
      <w:r>
        <w:rPr>
          <w:rFonts w:ascii="Times New Roman" w:hAnsi="Times New Roman"/>
          <w:b/>
          <w:sz w:val="32"/>
          <w:szCs w:val="32"/>
        </w:rPr>
        <w:t>s</w:t>
      </w:r>
      <w:r w:rsidRPr="00276DF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b</w:t>
      </w:r>
      <w:r w:rsidRPr="00276DF4">
        <w:rPr>
          <w:rFonts w:ascii="Times New Roman" w:hAnsi="Times New Roman"/>
          <w:b/>
          <w:sz w:val="32"/>
          <w:szCs w:val="32"/>
        </w:rPr>
        <w:t xml:space="preserve">ased on a </w:t>
      </w:r>
      <w:r>
        <w:rPr>
          <w:rFonts w:ascii="Times New Roman" w:hAnsi="Times New Roman"/>
          <w:b/>
          <w:sz w:val="32"/>
          <w:szCs w:val="32"/>
        </w:rPr>
        <w:t>p</w:t>
      </w:r>
      <w:r w:rsidRPr="00276DF4">
        <w:rPr>
          <w:rFonts w:ascii="Times New Roman" w:hAnsi="Times New Roman"/>
          <w:b/>
          <w:sz w:val="32"/>
          <w:szCs w:val="32"/>
        </w:rPr>
        <w:t xml:space="preserve">an-cancer </w:t>
      </w:r>
      <w:r>
        <w:rPr>
          <w:rFonts w:ascii="Times New Roman" w:hAnsi="Times New Roman"/>
          <w:b/>
          <w:sz w:val="32"/>
          <w:szCs w:val="32"/>
        </w:rPr>
        <w:t>a</w:t>
      </w:r>
      <w:r w:rsidRPr="00276DF4">
        <w:rPr>
          <w:rFonts w:ascii="Times New Roman" w:hAnsi="Times New Roman"/>
          <w:b/>
          <w:sz w:val="32"/>
          <w:szCs w:val="32"/>
        </w:rPr>
        <w:t>nalysis</w:t>
      </w:r>
    </w:p>
    <w:bookmarkEnd w:id="0"/>
    <w:p w14:paraId="667D3E1A" w14:textId="77777777" w:rsidR="00C81F4A" w:rsidRPr="0026546F" w:rsidRDefault="00C81F4A" w:rsidP="00C81F4A">
      <w:pPr>
        <w:spacing w:beforeLines="100" w:before="332" w:line="300" w:lineRule="atLeast"/>
        <w:rPr>
          <w:rFonts w:ascii="Times New Roman" w:hAnsi="Times New Roman"/>
          <w:b/>
          <w:sz w:val="24"/>
          <w:szCs w:val="24"/>
        </w:rPr>
      </w:pPr>
      <w:r w:rsidRPr="00276DF4">
        <w:rPr>
          <w:rFonts w:ascii="Times New Roman" w:hAnsi="Times New Roman"/>
          <w:b/>
          <w:sz w:val="24"/>
          <w:szCs w:val="24"/>
        </w:rPr>
        <w:t>Tao Huang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* </w:t>
      </w:r>
    </w:p>
    <w:p w14:paraId="6DC46726" w14:textId="77777777" w:rsidR="00C81F4A" w:rsidRPr="00FB765F" w:rsidRDefault="00C81F4A" w:rsidP="00C81F4A">
      <w:pPr>
        <w:spacing w:beforeLines="100" w:before="332" w:line="300" w:lineRule="atLeast"/>
        <w:rPr>
          <w:rFonts w:ascii="Times New Roman" w:hAnsi="Times New Roman"/>
          <w:bCs/>
          <w:sz w:val="24"/>
          <w:szCs w:val="24"/>
        </w:rPr>
      </w:pPr>
      <w:r w:rsidRPr="00276DF4">
        <w:rPr>
          <w:rFonts w:ascii="Times New Roman" w:hAnsi="Times New Roman"/>
          <w:bCs/>
          <w:sz w:val="24"/>
          <w:szCs w:val="24"/>
        </w:rPr>
        <w:t xml:space="preserve">Department of Cardiothoracic Vascular Surgery, The Affiliated Hospital of </w:t>
      </w:r>
      <w:proofErr w:type="spellStart"/>
      <w:r w:rsidRPr="00276DF4">
        <w:rPr>
          <w:rFonts w:ascii="Times New Roman" w:hAnsi="Times New Roman"/>
          <w:bCs/>
          <w:sz w:val="24"/>
          <w:szCs w:val="24"/>
        </w:rPr>
        <w:t>Youjiang</w:t>
      </w:r>
      <w:proofErr w:type="spellEnd"/>
      <w:r w:rsidRPr="00276DF4">
        <w:rPr>
          <w:rFonts w:ascii="Times New Roman" w:hAnsi="Times New Roman"/>
          <w:bCs/>
          <w:sz w:val="24"/>
          <w:szCs w:val="24"/>
        </w:rPr>
        <w:t xml:space="preserve"> Medical University for Nationalities, </w:t>
      </w:r>
      <w:proofErr w:type="spellStart"/>
      <w:r w:rsidRPr="00276DF4">
        <w:rPr>
          <w:rFonts w:ascii="Times New Roman" w:hAnsi="Times New Roman"/>
          <w:bCs/>
          <w:sz w:val="24"/>
          <w:szCs w:val="24"/>
        </w:rPr>
        <w:t>Baise</w:t>
      </w:r>
      <w:proofErr w:type="spellEnd"/>
      <w:r w:rsidRPr="00276DF4">
        <w:rPr>
          <w:rFonts w:ascii="Times New Roman" w:hAnsi="Times New Roman"/>
          <w:bCs/>
          <w:sz w:val="24"/>
          <w:szCs w:val="24"/>
        </w:rPr>
        <w:t>, China</w:t>
      </w:r>
    </w:p>
    <w:p w14:paraId="22B618BD" w14:textId="77777777" w:rsidR="00C81F4A" w:rsidRPr="00FB765F" w:rsidRDefault="00C81F4A" w:rsidP="00C81F4A">
      <w:pPr>
        <w:spacing w:beforeLines="100" w:before="332" w:line="300" w:lineRule="atLeast"/>
        <w:ind w:left="241" w:hangingChars="100" w:hanging="24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*</w:t>
      </w:r>
      <w:r>
        <w:rPr>
          <w:rFonts w:ascii="Times New Roman" w:hAnsi="Times New Roman"/>
          <w:b/>
          <w:sz w:val="24"/>
          <w:szCs w:val="24"/>
          <w:vertAlign w:val="superscript"/>
        </w:rPr>
        <w:tab/>
      </w:r>
      <w:r w:rsidRPr="0026546F">
        <w:rPr>
          <w:rFonts w:ascii="Times New Roman" w:hAnsi="Times New Roman"/>
          <w:b/>
          <w:sz w:val="24"/>
          <w:szCs w:val="24"/>
        </w:rPr>
        <w:t xml:space="preserve">Correspondence: </w:t>
      </w:r>
      <w:r w:rsidRPr="00FB765F">
        <w:rPr>
          <w:rFonts w:ascii="Times New Roman" w:hAnsi="Times New Roman"/>
          <w:bCs/>
          <w:sz w:val="24"/>
          <w:szCs w:val="24"/>
        </w:rPr>
        <w:t>Email: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76DF4">
        <w:rPr>
          <w:rFonts w:ascii="Times New Roman" w:hAnsi="Times New Roman"/>
          <w:sz w:val="24"/>
          <w:szCs w:val="24"/>
        </w:rPr>
        <w:t xml:space="preserve">huangtao_ymufm@163.com. </w:t>
      </w:r>
    </w:p>
    <w:p w14:paraId="5A653A73" w14:textId="77777777" w:rsidR="00C81F4A" w:rsidRPr="0026546F" w:rsidRDefault="00C81F4A" w:rsidP="00C81F4A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315A6517" w14:textId="59E41FA8" w:rsidR="00F27263" w:rsidRPr="00A9497D" w:rsidRDefault="00F27263" w:rsidP="00F27263">
      <w:pPr>
        <w:spacing w:beforeLines="100" w:before="332" w:line="300" w:lineRule="atLeas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</w:t>
      </w:r>
      <w:r w:rsidRPr="00A9497D">
        <w:rPr>
          <w:rFonts w:ascii="Times New Roman" w:hAnsi="Times New Roman"/>
          <w:b/>
          <w:bCs/>
          <w:sz w:val="24"/>
          <w:szCs w:val="24"/>
        </w:rPr>
        <w:t>upplementary</w:t>
      </w:r>
    </w:p>
    <w:p w14:paraId="73E5043C" w14:textId="77777777" w:rsidR="00F27263" w:rsidRPr="00A9497D" w:rsidRDefault="00F27263" w:rsidP="00F27263">
      <w:pPr>
        <w:spacing w:beforeLines="100" w:before="332" w:line="300" w:lineRule="atLeast"/>
        <w:rPr>
          <w:rFonts w:ascii="Times New Roman" w:hAnsi="Times New Roman"/>
          <w:sz w:val="24"/>
          <w:szCs w:val="24"/>
        </w:rPr>
      </w:pPr>
      <w:r w:rsidRPr="00A9497D">
        <w:rPr>
          <w:rFonts w:ascii="Times New Roman" w:hAnsi="Times New Roman"/>
          <w:b/>
          <w:bCs/>
          <w:sz w:val="24"/>
          <w:szCs w:val="24"/>
        </w:rPr>
        <w:t>Supplementary Appendix 1.</w:t>
      </w:r>
      <w:r w:rsidRPr="00A9497D">
        <w:rPr>
          <w:rFonts w:ascii="Times New Roman" w:hAnsi="Times New Roman"/>
          <w:sz w:val="24"/>
          <w:szCs w:val="24"/>
        </w:rPr>
        <w:t xml:space="preserve"> Cancers were included in the study.</w:t>
      </w:r>
    </w:p>
    <w:tbl>
      <w:tblPr>
        <w:tblW w:w="7029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500"/>
      </w:tblGrid>
      <w:tr w:rsidR="00F27263" w:rsidRPr="00A9497D" w14:paraId="3DB0B0A3" w14:textId="77777777" w:rsidTr="00135A6F">
        <w:trPr>
          <w:trHeight w:val="310"/>
          <w:jc w:val="center"/>
        </w:trPr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6CAE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The full name of cancer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624DB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Abbreviation</w:t>
            </w:r>
          </w:p>
        </w:tc>
      </w:tr>
      <w:tr w:rsidR="00F27263" w:rsidRPr="00A9497D" w14:paraId="1F80F0A6" w14:textId="77777777" w:rsidTr="00135A6F">
        <w:trPr>
          <w:trHeight w:val="310"/>
          <w:jc w:val="center"/>
        </w:trPr>
        <w:tc>
          <w:tcPr>
            <w:tcW w:w="55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3734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Adrenocortical Carcinoma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A580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ACC</w:t>
            </w:r>
          </w:p>
        </w:tc>
      </w:tr>
      <w:tr w:rsidR="00F27263" w:rsidRPr="00A9497D" w14:paraId="4E9EBAC7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09CDF48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Bladder Urothelial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D2E91DE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BLCA</w:t>
            </w:r>
          </w:p>
        </w:tc>
      </w:tr>
      <w:tr w:rsidR="00F27263" w:rsidRPr="00A9497D" w14:paraId="22CDFFD4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A7048EC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Breast Invasive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0AA5D68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BRCA</w:t>
            </w:r>
          </w:p>
        </w:tc>
      </w:tr>
      <w:tr w:rsidR="00F27263" w:rsidRPr="00A9497D" w14:paraId="7D415131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53DC1F76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Cholangiocarcinoma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EAFE718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CHOL</w:t>
            </w:r>
          </w:p>
        </w:tc>
      </w:tr>
      <w:tr w:rsidR="00F27263" w:rsidRPr="00A9497D" w14:paraId="0A3BF5D0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4DD4BDF6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Colon Adenocarcinoma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5885544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COAD</w:t>
            </w:r>
          </w:p>
        </w:tc>
      </w:tr>
      <w:tr w:rsidR="00F27263" w:rsidRPr="00A9497D" w14:paraId="44C55918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951D373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Lymphoid Neoplasm Diffuse Large B-Cell Lymphoma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329C709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DLBC</w:t>
            </w:r>
          </w:p>
        </w:tc>
      </w:tr>
      <w:tr w:rsidR="00F27263" w:rsidRPr="00A9497D" w14:paraId="5C5FCDFB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61F7C9BB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Esophageal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A02E6DE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ESCA</w:t>
            </w:r>
          </w:p>
        </w:tc>
      </w:tr>
      <w:tr w:rsidR="00F27263" w:rsidRPr="00A9497D" w14:paraId="08A12077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626DEF6C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Glioblastoma Multiforme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E86E8E3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GBM</w:t>
            </w:r>
          </w:p>
        </w:tc>
      </w:tr>
      <w:tr w:rsidR="00F27263" w:rsidRPr="00A9497D" w14:paraId="20497B4F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28671A19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 xml:space="preserve">Head </w:t>
            </w:r>
            <w:r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a</w:t>
            </w: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nd Neck Squamous Cell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660F2A6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HNSCC</w:t>
            </w:r>
          </w:p>
        </w:tc>
      </w:tr>
      <w:tr w:rsidR="00F27263" w:rsidRPr="00A9497D" w14:paraId="00E299D2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E0C5799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lastRenderedPageBreak/>
              <w:t>Kidney Chromophobe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A895083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KICH</w:t>
            </w:r>
          </w:p>
        </w:tc>
      </w:tr>
      <w:tr w:rsidR="00F27263" w:rsidRPr="00A9497D" w14:paraId="52B48112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1033B3E1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Kidney Renal Clear Cell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A88871F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KIRC</w:t>
            </w:r>
          </w:p>
        </w:tc>
      </w:tr>
      <w:tr w:rsidR="00F27263" w:rsidRPr="00A9497D" w14:paraId="3D990DBD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71C878B3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Kidney Renal Papillary Cell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2CB556D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KIRP</w:t>
            </w:r>
          </w:p>
        </w:tc>
      </w:tr>
      <w:tr w:rsidR="00F27263" w:rsidRPr="00A9497D" w14:paraId="7496C67C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3B0EF04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Acute Myeloid Leukemia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5CE40C0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LAML</w:t>
            </w:r>
          </w:p>
        </w:tc>
      </w:tr>
      <w:tr w:rsidR="00F27263" w:rsidRPr="00A9497D" w14:paraId="08687D7F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574980DA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Brain Lower Grade Glioma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9E10423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LGG</w:t>
            </w:r>
          </w:p>
        </w:tc>
      </w:tr>
      <w:tr w:rsidR="00F27263" w:rsidRPr="00A9497D" w14:paraId="1825F19F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2BA32F41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Liver Hepatocellular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E589A58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LIHC</w:t>
            </w:r>
          </w:p>
        </w:tc>
      </w:tr>
      <w:tr w:rsidR="00F27263" w:rsidRPr="00A9497D" w14:paraId="7AB74311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02B31777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Lung Adenocarcinoma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B97D446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LUAD</w:t>
            </w:r>
          </w:p>
        </w:tc>
      </w:tr>
      <w:tr w:rsidR="00F27263" w:rsidRPr="00A9497D" w14:paraId="061C76A2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6394D883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Lung Squamous Cell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04304D0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LUSC</w:t>
            </w:r>
          </w:p>
        </w:tc>
      </w:tr>
      <w:tr w:rsidR="00F27263" w:rsidRPr="00A9497D" w14:paraId="1D717B1D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0CFFDAE1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Mesothelioma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E7C9BCA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MESO</w:t>
            </w:r>
          </w:p>
        </w:tc>
      </w:tr>
      <w:tr w:rsidR="00F27263" w:rsidRPr="00A9497D" w14:paraId="43C1CD97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258CBC23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Ovarian Serous Cystadenocarcinoma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31A51D3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OV</w:t>
            </w:r>
          </w:p>
        </w:tc>
      </w:tr>
      <w:tr w:rsidR="00F27263" w:rsidRPr="00A9497D" w14:paraId="17033688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7CF8EDB2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Pancreatic Adenocarcinoma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4C3CFAE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PAAD</w:t>
            </w:r>
          </w:p>
        </w:tc>
      </w:tr>
      <w:tr w:rsidR="00F27263" w:rsidRPr="00A9497D" w14:paraId="0CB26ABA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714FBDAB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 xml:space="preserve">Pheochromocytoma </w:t>
            </w:r>
            <w:r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a</w:t>
            </w: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nd Paraganglioma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B2C4727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PCPG</w:t>
            </w:r>
          </w:p>
        </w:tc>
      </w:tr>
      <w:tr w:rsidR="00F27263" w:rsidRPr="00A9497D" w14:paraId="033CCB2B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3B526F4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Prostate Adenocarcinoma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7A4401F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PRAD</w:t>
            </w:r>
          </w:p>
        </w:tc>
      </w:tr>
      <w:tr w:rsidR="00F27263" w:rsidRPr="00A9497D" w14:paraId="2915CEC2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4E4AE54C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Rectum Adenocarcinoma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A4B62B0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READ</w:t>
            </w:r>
          </w:p>
        </w:tc>
      </w:tr>
      <w:tr w:rsidR="00F27263" w:rsidRPr="00A9497D" w14:paraId="3519D8E7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44A9B3A1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Sarcoma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D5D0872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SARC</w:t>
            </w:r>
          </w:p>
        </w:tc>
      </w:tr>
      <w:tr w:rsidR="00F27263" w:rsidRPr="00A9497D" w14:paraId="4EFB1C54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BA2E771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Skin Cutaneous Melanoma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395A580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SKCM</w:t>
            </w:r>
          </w:p>
        </w:tc>
      </w:tr>
      <w:tr w:rsidR="00F27263" w:rsidRPr="00A9497D" w14:paraId="6B5834C5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127AB409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Stomach Adenocarcinoma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85977DE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STAD</w:t>
            </w:r>
          </w:p>
        </w:tc>
      </w:tr>
      <w:tr w:rsidR="00F27263" w:rsidRPr="00A9497D" w14:paraId="42C61FB0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1ED6174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Testicular Germ Cell Tumors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AC06A97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TGCT</w:t>
            </w:r>
          </w:p>
        </w:tc>
      </w:tr>
      <w:tr w:rsidR="00F27263" w:rsidRPr="00A9497D" w14:paraId="50EF5D8D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45BA6E17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Thyroid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C1E4951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THCA</w:t>
            </w:r>
          </w:p>
        </w:tc>
      </w:tr>
      <w:tr w:rsidR="00F27263" w:rsidRPr="00A9497D" w14:paraId="469A6393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09E4BBC0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Thymoma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70359D7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THYM</w:t>
            </w:r>
          </w:p>
        </w:tc>
      </w:tr>
      <w:tr w:rsidR="00F27263" w:rsidRPr="00A9497D" w14:paraId="74AA3533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2BEAC968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Uterine Corpus Endometrial Carcinoma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93D6DCD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UCEC</w:t>
            </w:r>
          </w:p>
        </w:tc>
      </w:tr>
      <w:tr w:rsidR="00F27263" w:rsidRPr="00A9497D" w14:paraId="35A5AEAC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40C7DCAA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Uterine Carcinosarcoma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E693867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UCS</w:t>
            </w:r>
          </w:p>
        </w:tc>
      </w:tr>
      <w:tr w:rsidR="00F27263" w:rsidRPr="00A9497D" w14:paraId="18270630" w14:textId="77777777" w:rsidTr="00135A6F">
        <w:trPr>
          <w:trHeight w:val="310"/>
          <w:jc w:val="center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14:paraId="302ABB80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Uveal Melanoma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267EE1F" w14:textId="77777777" w:rsidR="00F27263" w:rsidRPr="00A9497D" w:rsidRDefault="00F27263" w:rsidP="00135A6F">
            <w:pPr>
              <w:spacing w:after="160"/>
              <w:rPr>
                <w:rFonts w:ascii="Times New Roman" w:eastAsia="等线" w:hAnsi="Times New Roman"/>
                <w:color w:val="000000"/>
                <w:sz w:val="24"/>
                <w:szCs w:val="24"/>
              </w:rPr>
            </w:pPr>
            <w:r w:rsidRPr="00A9497D">
              <w:rPr>
                <w:rFonts w:ascii="Times New Roman" w:eastAsia="等线" w:hAnsi="Times New Roman"/>
                <w:color w:val="000000"/>
                <w:sz w:val="24"/>
                <w:szCs w:val="24"/>
              </w:rPr>
              <w:t>UVM</w:t>
            </w:r>
          </w:p>
        </w:tc>
      </w:tr>
    </w:tbl>
    <w:p w14:paraId="2C251AB5" w14:textId="77777777" w:rsidR="00F27263" w:rsidRPr="00A9497D" w:rsidRDefault="00F27263" w:rsidP="00F27263">
      <w:pPr>
        <w:keepNext/>
        <w:spacing w:after="160"/>
        <w:rPr>
          <w:rFonts w:ascii="Times New Roman" w:hAnsi="Times New Roman"/>
          <w:sz w:val="24"/>
          <w:szCs w:val="24"/>
        </w:rPr>
      </w:pPr>
    </w:p>
    <w:p w14:paraId="267E5F3B" w14:textId="77777777" w:rsidR="00F27263" w:rsidRPr="00A9497D" w:rsidRDefault="00F27263" w:rsidP="00F27263">
      <w:pPr>
        <w:keepNext/>
        <w:spacing w:after="160"/>
        <w:rPr>
          <w:rFonts w:ascii="Times New Roman" w:hAnsi="Times New Roman"/>
          <w:sz w:val="24"/>
          <w:szCs w:val="24"/>
        </w:rPr>
      </w:pPr>
      <w:r w:rsidRPr="00A9497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1DEFEE" wp14:editId="5F8A70C6">
            <wp:extent cx="5721350" cy="66611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2D3A" w14:textId="77777777" w:rsidR="00F27263" w:rsidRPr="00A9497D" w:rsidRDefault="00F27263" w:rsidP="00F27263">
      <w:pPr>
        <w:keepNext/>
        <w:spacing w:after="160"/>
        <w:rPr>
          <w:rFonts w:ascii="Times New Roman" w:hAnsi="Times New Roman"/>
          <w:b/>
          <w:sz w:val="24"/>
          <w:szCs w:val="24"/>
        </w:rPr>
      </w:pPr>
      <w:bookmarkStart w:id="1" w:name="_Hlk98772675"/>
      <w:r w:rsidRPr="00A9497D">
        <w:rPr>
          <w:rFonts w:ascii="Times New Roman" w:hAnsi="Times New Roman"/>
          <w:b/>
          <w:bCs/>
          <w:sz w:val="24"/>
          <w:szCs w:val="24"/>
        </w:rPr>
        <w:t>Supplementary Appendix 2</w:t>
      </w:r>
      <w:bookmarkEnd w:id="1"/>
      <w:r w:rsidRPr="00A9497D">
        <w:rPr>
          <w:rFonts w:ascii="Times New Roman" w:hAnsi="Times New Roman"/>
          <w:b/>
          <w:sz w:val="24"/>
          <w:szCs w:val="24"/>
        </w:rPr>
        <w:t>.</w:t>
      </w:r>
      <w:r w:rsidRPr="00A9497D">
        <w:rPr>
          <w:rFonts w:ascii="Times New Roman" w:hAnsi="Times New Roman"/>
          <w:sz w:val="24"/>
          <w:szCs w:val="24"/>
        </w:rPr>
        <w:t xml:space="preserve"> Cancers selected in the study and their sample number.</w:t>
      </w:r>
    </w:p>
    <w:p w14:paraId="0F8BFF43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</w:p>
    <w:p w14:paraId="08CC641E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154AAC" wp14:editId="14DE9429">
            <wp:extent cx="6188710" cy="3771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7DE9" w14:textId="77777777" w:rsidR="00F27263" w:rsidRDefault="00F27263" w:rsidP="00F27263">
      <w:pPr>
        <w:keepNext/>
        <w:spacing w:after="160"/>
        <w:rPr>
          <w:rFonts w:ascii="Times New Roman" w:hAnsi="Times New Roman"/>
          <w:sz w:val="24"/>
          <w:szCs w:val="24"/>
        </w:rPr>
      </w:pPr>
      <w:r w:rsidRPr="00585E63">
        <w:rPr>
          <w:rFonts w:ascii="Times New Roman" w:hAnsi="Times New Roman"/>
          <w:b/>
          <w:bCs/>
          <w:sz w:val="24"/>
          <w:szCs w:val="24"/>
        </w:rPr>
        <w:t xml:space="preserve">Supplementary Appendix 3. </w:t>
      </w:r>
      <w:r w:rsidRPr="00EB5938">
        <w:rPr>
          <w:rFonts w:ascii="Times New Roman" w:hAnsi="Times New Roman"/>
          <w:sz w:val="24"/>
          <w:szCs w:val="24"/>
        </w:rPr>
        <w:t>Analys</w:t>
      </w:r>
      <w:r w:rsidRPr="00585E63">
        <w:rPr>
          <w:rFonts w:ascii="Times New Roman" w:hAnsi="Times New Roman"/>
          <w:sz w:val="24"/>
          <w:szCs w:val="24"/>
        </w:rPr>
        <w:t>es</w:t>
      </w:r>
      <w:r w:rsidRPr="00EB5938">
        <w:rPr>
          <w:rFonts w:ascii="Times New Roman" w:hAnsi="Times New Roman"/>
          <w:sz w:val="24"/>
          <w:szCs w:val="24"/>
        </w:rPr>
        <w:t xml:space="preserve"> based on s</w:t>
      </w:r>
      <w:r w:rsidRPr="00585E63">
        <w:rPr>
          <w:rFonts w:ascii="Times New Roman" w:hAnsi="Times New Roman"/>
          <w:sz w:val="24"/>
          <w:szCs w:val="24"/>
        </w:rPr>
        <w:t xml:space="preserve">ingle </w:t>
      </w:r>
      <w:r w:rsidRPr="00EB5938">
        <w:rPr>
          <w:rFonts w:ascii="Times New Roman" w:hAnsi="Times New Roman"/>
          <w:sz w:val="24"/>
          <w:szCs w:val="24"/>
        </w:rPr>
        <w:t>c</w:t>
      </w:r>
      <w:r w:rsidRPr="00585E63">
        <w:rPr>
          <w:rFonts w:ascii="Times New Roman" w:hAnsi="Times New Roman"/>
          <w:sz w:val="24"/>
          <w:szCs w:val="24"/>
        </w:rPr>
        <w:t xml:space="preserve">ell </w:t>
      </w:r>
      <w:r w:rsidRPr="00EB5938">
        <w:rPr>
          <w:rFonts w:ascii="Times New Roman" w:hAnsi="Times New Roman"/>
          <w:sz w:val="24"/>
          <w:szCs w:val="24"/>
        </w:rPr>
        <w:t xml:space="preserve">RNA-seq data to </w:t>
      </w:r>
      <w:r w:rsidRPr="00585E63">
        <w:rPr>
          <w:rFonts w:ascii="Times New Roman" w:hAnsi="Times New Roman"/>
          <w:sz w:val="24"/>
          <w:szCs w:val="24"/>
        </w:rPr>
        <w:t>explore</w:t>
      </w:r>
      <w:r w:rsidRPr="00EB5938">
        <w:rPr>
          <w:rFonts w:ascii="Times New Roman" w:hAnsi="Times New Roman"/>
          <w:sz w:val="24"/>
          <w:szCs w:val="24"/>
        </w:rPr>
        <w:t xml:space="preserve"> cell types highly express </w:t>
      </w:r>
      <w:r w:rsidRPr="00585E63">
        <w:rPr>
          <w:rFonts w:ascii="Times New Roman" w:hAnsi="Times New Roman"/>
          <w:sz w:val="24"/>
          <w:szCs w:val="24"/>
        </w:rPr>
        <w:t>TRPV1</w:t>
      </w:r>
      <w:r w:rsidRPr="00EB5938">
        <w:rPr>
          <w:rFonts w:ascii="Times New Roman" w:hAnsi="Times New Roman"/>
          <w:sz w:val="24"/>
          <w:szCs w:val="24"/>
        </w:rPr>
        <w:t>.</w:t>
      </w:r>
      <w:r w:rsidRPr="00585E63">
        <w:rPr>
          <w:rFonts w:ascii="Times New Roman" w:hAnsi="Times New Roman"/>
          <w:sz w:val="24"/>
          <w:szCs w:val="24"/>
        </w:rPr>
        <w:t xml:space="preserve"> The figure was obtained from Tumor Immune Single-cell Hub (</w:t>
      </w:r>
      <w:r w:rsidRPr="00B94F81">
        <w:rPr>
          <w:rFonts w:ascii="Times New Roman" w:hAnsi="Times New Roman"/>
          <w:sz w:val="24"/>
          <w:szCs w:val="24"/>
        </w:rPr>
        <w:t>http://tisch.comp-genomics.org/home/</w:t>
      </w:r>
      <w:r w:rsidRPr="00585E6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D23FF">
        <w:rPr>
          <w:rFonts w:ascii="Times New Roman" w:hAnsi="Times New Roman"/>
          <w:sz w:val="24"/>
          <w:szCs w:val="24"/>
        </w:rPr>
        <w:t xml:space="preserve">Blank cell </w:t>
      </w:r>
      <w:r>
        <w:rPr>
          <w:rFonts w:ascii="Times New Roman" w:hAnsi="Times New Roman"/>
          <w:sz w:val="24"/>
          <w:szCs w:val="24"/>
        </w:rPr>
        <w:t>represents</w:t>
      </w:r>
      <w:r w:rsidRPr="002D23FF">
        <w:rPr>
          <w:rFonts w:ascii="Times New Roman" w:hAnsi="Times New Roman"/>
          <w:sz w:val="24"/>
          <w:szCs w:val="24"/>
        </w:rPr>
        <w:t xml:space="preserve"> no relevant data.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6D01129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</w:p>
    <w:p w14:paraId="572F309A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E69D0C" wp14:editId="5F239905">
            <wp:extent cx="6188710" cy="56165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7490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  <w:r w:rsidRPr="00EB5938">
        <w:rPr>
          <w:rFonts w:ascii="Times New Roman" w:hAnsi="Times New Roman"/>
          <w:b/>
          <w:bCs/>
          <w:sz w:val="24"/>
          <w:szCs w:val="24"/>
        </w:rPr>
        <w:t xml:space="preserve">Supplementary Appendix 4. </w:t>
      </w:r>
      <w:r w:rsidRPr="00EB5938">
        <w:rPr>
          <w:rFonts w:ascii="Times New Roman" w:hAnsi="Times New Roman"/>
          <w:sz w:val="24"/>
          <w:szCs w:val="24"/>
        </w:rPr>
        <w:t>Selection of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B5938">
        <w:rPr>
          <w:rFonts w:ascii="Times New Roman" w:hAnsi="Times New Roman"/>
          <w:sz w:val="24"/>
          <w:szCs w:val="24"/>
        </w:rPr>
        <w:t xml:space="preserve">possible hub genes of TRPV1 in ACC. Panel A: The clustering tree diagram indicates that specific samples (above the red line) with distinct outliers should be excluded; the remaining samples (below the red line) were utilized for subsequent analysis. Panel B: The soft threshold was set as 4. Panels C–D: Modules were determined in hierarchical clustering, of which the “brown” module had the strongest correlation with the TRPV1 expression by Pearson correlation coefficient. Panel E: A significant positive correlation between gene significance of TRPV1 expression and module membership in the “brown” module. Panel F: CDCA8 was the hub gene of the “brown” module; the network was constructed in </w:t>
      </w:r>
      <w:proofErr w:type="spellStart"/>
      <w:r w:rsidRPr="00EB5938">
        <w:rPr>
          <w:rFonts w:ascii="Times New Roman" w:hAnsi="Times New Roman"/>
          <w:sz w:val="24"/>
          <w:szCs w:val="24"/>
        </w:rPr>
        <w:t>Cytoscape</w:t>
      </w:r>
      <w:proofErr w:type="spellEnd"/>
      <w:r w:rsidRPr="00EB5938">
        <w:rPr>
          <w:rFonts w:ascii="Times New Roman" w:hAnsi="Times New Roman"/>
          <w:sz w:val="24"/>
          <w:szCs w:val="24"/>
        </w:rPr>
        <w:t xml:space="preserve"> with the “degree” algorithm. In </w:t>
      </w:r>
      <w:proofErr w:type="spellStart"/>
      <w:r w:rsidRPr="00EB5938">
        <w:rPr>
          <w:rFonts w:ascii="Times New Roman" w:hAnsi="Times New Roman"/>
          <w:sz w:val="24"/>
          <w:szCs w:val="24"/>
        </w:rPr>
        <w:t>Cytoscape</w:t>
      </w:r>
      <w:proofErr w:type="spellEnd"/>
      <w:r w:rsidRPr="00EB5938">
        <w:rPr>
          <w:rFonts w:ascii="Times New Roman" w:hAnsi="Times New Roman"/>
          <w:sz w:val="24"/>
          <w:szCs w:val="24"/>
        </w:rPr>
        <w:t>, the visualization network was constructed based on the top 100 genes (rank by the weight values) of the “brown” module; genes not in the most extensive network are not displayed.</w:t>
      </w:r>
    </w:p>
    <w:p w14:paraId="6A4C9260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</w:p>
    <w:p w14:paraId="16985374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B22F7A" wp14:editId="15D45349">
            <wp:extent cx="6188710" cy="22002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562A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  <w:r w:rsidRPr="000976DE">
        <w:rPr>
          <w:rFonts w:ascii="Times New Roman" w:hAnsi="Times New Roman"/>
          <w:b/>
          <w:bCs/>
          <w:sz w:val="24"/>
          <w:szCs w:val="24"/>
        </w:rPr>
        <w:t xml:space="preserve">Supplementary Appendix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0976DE"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0976D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76DE">
        <w:rPr>
          <w:rFonts w:ascii="Times New Roman" w:hAnsi="Times New Roman"/>
          <w:sz w:val="24"/>
          <w:szCs w:val="24"/>
        </w:rPr>
        <w:t>Selection of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76DE">
        <w:rPr>
          <w:rFonts w:ascii="Times New Roman" w:hAnsi="Times New Roman"/>
          <w:sz w:val="24"/>
          <w:szCs w:val="24"/>
        </w:rPr>
        <w:t xml:space="preserve">possible hub genes of TRPV1 in ACC. Panel A: The clustering tree diagram indicates that specific samples (above the red line) with distinct outliers should be excluded; the remaining samples (below the red line) were utilized for subsequent analysis. Panel B: The soft threshold was set as </w:t>
      </w:r>
      <w:r>
        <w:rPr>
          <w:rFonts w:ascii="Times New Roman" w:hAnsi="Times New Roman"/>
          <w:sz w:val="24"/>
          <w:szCs w:val="24"/>
        </w:rPr>
        <w:t>3</w:t>
      </w:r>
      <w:r w:rsidRPr="000976DE">
        <w:rPr>
          <w:rFonts w:ascii="Times New Roman" w:hAnsi="Times New Roman"/>
          <w:sz w:val="24"/>
          <w:szCs w:val="24"/>
        </w:rPr>
        <w:t xml:space="preserve">. Panels C–D: Modules were determined in hierarchical clustering, of which the “brown” module </w:t>
      </w:r>
      <w:r>
        <w:rPr>
          <w:rFonts w:ascii="Times New Roman" w:hAnsi="Times New Roman"/>
          <w:sz w:val="24"/>
          <w:szCs w:val="24"/>
        </w:rPr>
        <w:t xml:space="preserve">(except for the grey module) </w:t>
      </w:r>
      <w:r w:rsidRPr="000976DE">
        <w:rPr>
          <w:rFonts w:ascii="Times New Roman" w:hAnsi="Times New Roman"/>
          <w:sz w:val="24"/>
          <w:szCs w:val="24"/>
        </w:rPr>
        <w:t xml:space="preserve">had the strongest correlation with the TRPV1 expression by Pearson correlation coefficient. Panel E: A significant positive correlation between gene significance of TRPV1 expression and module membership in the “brown” module. Panel F: </w:t>
      </w:r>
      <w:r>
        <w:rPr>
          <w:rFonts w:ascii="Times New Roman" w:hAnsi="Times New Roman"/>
          <w:sz w:val="24"/>
          <w:szCs w:val="24"/>
        </w:rPr>
        <w:t>HID1</w:t>
      </w:r>
      <w:r w:rsidRPr="000976DE">
        <w:rPr>
          <w:rFonts w:ascii="Times New Roman" w:hAnsi="Times New Roman"/>
          <w:sz w:val="24"/>
          <w:szCs w:val="24"/>
        </w:rPr>
        <w:t xml:space="preserve"> was the hub gene of the “brown” module; the network was constructed in </w:t>
      </w:r>
      <w:proofErr w:type="spellStart"/>
      <w:r w:rsidRPr="000976DE">
        <w:rPr>
          <w:rFonts w:ascii="Times New Roman" w:hAnsi="Times New Roman"/>
          <w:sz w:val="24"/>
          <w:szCs w:val="24"/>
        </w:rPr>
        <w:t>Cytoscape</w:t>
      </w:r>
      <w:proofErr w:type="spellEnd"/>
      <w:r w:rsidRPr="000976DE">
        <w:rPr>
          <w:rFonts w:ascii="Times New Roman" w:hAnsi="Times New Roman"/>
          <w:sz w:val="24"/>
          <w:szCs w:val="24"/>
        </w:rPr>
        <w:t xml:space="preserve"> with the “degree” algorithm. In </w:t>
      </w:r>
      <w:proofErr w:type="spellStart"/>
      <w:r w:rsidRPr="000976DE">
        <w:rPr>
          <w:rFonts w:ascii="Times New Roman" w:hAnsi="Times New Roman"/>
          <w:sz w:val="24"/>
          <w:szCs w:val="24"/>
        </w:rPr>
        <w:t>Cytoscape</w:t>
      </w:r>
      <w:proofErr w:type="spellEnd"/>
      <w:r w:rsidRPr="000976DE">
        <w:rPr>
          <w:rFonts w:ascii="Times New Roman" w:hAnsi="Times New Roman"/>
          <w:sz w:val="24"/>
          <w:szCs w:val="24"/>
        </w:rPr>
        <w:t>, the visualization network was constructed based on the top 100 genes (rank by the weight values) of the “brown” module; genes not in the most extensive network are not displayed.</w:t>
      </w:r>
    </w:p>
    <w:p w14:paraId="0FE47EF9" w14:textId="77777777" w:rsidR="00F27263" w:rsidRDefault="00F27263" w:rsidP="00F27263">
      <w:pPr>
        <w:rPr>
          <w:noProof/>
        </w:rPr>
      </w:pPr>
    </w:p>
    <w:p w14:paraId="4BE7D7B8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8BC3A8" wp14:editId="45DDB6FC">
            <wp:extent cx="6188710" cy="56483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8FB4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  <w:r w:rsidRPr="000976DE">
        <w:rPr>
          <w:rFonts w:ascii="Times New Roman" w:hAnsi="Times New Roman"/>
          <w:b/>
          <w:bCs/>
          <w:sz w:val="24"/>
          <w:szCs w:val="24"/>
        </w:rPr>
        <w:t xml:space="preserve">Supplementary Appendix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0976DE"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0976D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76DE">
        <w:rPr>
          <w:rFonts w:ascii="Times New Roman" w:hAnsi="Times New Roman"/>
          <w:sz w:val="24"/>
          <w:szCs w:val="24"/>
        </w:rPr>
        <w:t>Selection of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76DE">
        <w:rPr>
          <w:rFonts w:ascii="Times New Roman" w:hAnsi="Times New Roman"/>
          <w:sz w:val="24"/>
          <w:szCs w:val="24"/>
        </w:rPr>
        <w:t>possible hub genes of TRPV1 in ACC. Panel A: The clustering tree diagram indicates that specific samples (above the red line) with distinct outliers should be excluded; the remaining samples (below the red line) were utilized for subsequent analysis. Panel B: The soft threshold was set as 4. Panels C–D: Modules were determined in hierarchical clustering, of which the “</w:t>
      </w:r>
      <w:r>
        <w:rPr>
          <w:rFonts w:ascii="Times New Roman" w:hAnsi="Times New Roman"/>
          <w:sz w:val="24"/>
          <w:szCs w:val="24"/>
        </w:rPr>
        <w:t>yellow</w:t>
      </w:r>
      <w:r w:rsidRPr="000976DE">
        <w:rPr>
          <w:rFonts w:ascii="Times New Roman" w:hAnsi="Times New Roman"/>
          <w:sz w:val="24"/>
          <w:szCs w:val="24"/>
        </w:rPr>
        <w:t>” module had the strongest correlation with the TRPV1 expression by Pearson correlation coefficient. Panel E: A significant positive correlation between gene significance of TRPV1 expression and module membership in the “</w:t>
      </w:r>
      <w:r>
        <w:rPr>
          <w:rFonts w:ascii="Times New Roman" w:hAnsi="Times New Roman"/>
          <w:sz w:val="24"/>
          <w:szCs w:val="24"/>
        </w:rPr>
        <w:t>yellow</w:t>
      </w:r>
      <w:r w:rsidRPr="000976DE">
        <w:rPr>
          <w:rFonts w:ascii="Times New Roman" w:hAnsi="Times New Roman"/>
          <w:sz w:val="24"/>
          <w:szCs w:val="24"/>
        </w:rPr>
        <w:t xml:space="preserve">” module. Panel F: </w:t>
      </w:r>
      <w:r>
        <w:rPr>
          <w:rFonts w:ascii="Times New Roman" w:hAnsi="Times New Roman"/>
          <w:sz w:val="24"/>
          <w:szCs w:val="24"/>
        </w:rPr>
        <w:t>LY6G5B</w:t>
      </w:r>
      <w:r w:rsidRPr="000976DE">
        <w:rPr>
          <w:rFonts w:ascii="Times New Roman" w:hAnsi="Times New Roman"/>
          <w:sz w:val="24"/>
          <w:szCs w:val="24"/>
        </w:rPr>
        <w:t xml:space="preserve"> was the hub gene of the “</w:t>
      </w:r>
      <w:r>
        <w:rPr>
          <w:rFonts w:ascii="Times New Roman" w:hAnsi="Times New Roman"/>
          <w:sz w:val="24"/>
          <w:szCs w:val="24"/>
        </w:rPr>
        <w:t>yellow</w:t>
      </w:r>
      <w:r w:rsidRPr="000976DE">
        <w:rPr>
          <w:rFonts w:ascii="Times New Roman" w:hAnsi="Times New Roman"/>
          <w:sz w:val="24"/>
          <w:szCs w:val="24"/>
        </w:rPr>
        <w:t xml:space="preserve">” module; the network was constructed in </w:t>
      </w:r>
      <w:proofErr w:type="spellStart"/>
      <w:r w:rsidRPr="000976DE">
        <w:rPr>
          <w:rFonts w:ascii="Times New Roman" w:hAnsi="Times New Roman"/>
          <w:sz w:val="24"/>
          <w:szCs w:val="24"/>
        </w:rPr>
        <w:t>Cytoscape</w:t>
      </w:r>
      <w:proofErr w:type="spellEnd"/>
      <w:r w:rsidRPr="000976DE">
        <w:rPr>
          <w:rFonts w:ascii="Times New Roman" w:hAnsi="Times New Roman"/>
          <w:sz w:val="24"/>
          <w:szCs w:val="24"/>
        </w:rPr>
        <w:t xml:space="preserve"> with the “degree” algorithm. In </w:t>
      </w:r>
      <w:proofErr w:type="spellStart"/>
      <w:r w:rsidRPr="000976DE">
        <w:rPr>
          <w:rFonts w:ascii="Times New Roman" w:hAnsi="Times New Roman"/>
          <w:sz w:val="24"/>
          <w:szCs w:val="24"/>
        </w:rPr>
        <w:t>Cytoscape</w:t>
      </w:r>
      <w:proofErr w:type="spellEnd"/>
      <w:r w:rsidRPr="000976DE">
        <w:rPr>
          <w:rFonts w:ascii="Times New Roman" w:hAnsi="Times New Roman"/>
          <w:sz w:val="24"/>
          <w:szCs w:val="24"/>
        </w:rPr>
        <w:t>, the visualization network was constructed based on the top 100 genes (rank by the weight values) of the “</w:t>
      </w:r>
      <w:r>
        <w:rPr>
          <w:rFonts w:ascii="Times New Roman" w:hAnsi="Times New Roman"/>
          <w:sz w:val="24"/>
          <w:szCs w:val="24"/>
        </w:rPr>
        <w:t>yellow</w:t>
      </w:r>
      <w:r w:rsidRPr="000976DE">
        <w:rPr>
          <w:rFonts w:ascii="Times New Roman" w:hAnsi="Times New Roman"/>
          <w:sz w:val="24"/>
          <w:szCs w:val="24"/>
        </w:rPr>
        <w:t>” module; genes not in the most extensive network are not displayed.</w:t>
      </w:r>
    </w:p>
    <w:p w14:paraId="25D4A869" w14:textId="77777777" w:rsidR="00F27263" w:rsidRDefault="00F27263" w:rsidP="00F27263">
      <w:pPr>
        <w:rPr>
          <w:noProof/>
        </w:rPr>
      </w:pPr>
    </w:p>
    <w:p w14:paraId="6A4D8A93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C1A8CD" wp14:editId="5175B6B5">
            <wp:extent cx="6188710" cy="22098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1FB7" w14:textId="77777777" w:rsidR="00F27263" w:rsidRDefault="00F27263" w:rsidP="00F27263">
      <w:pPr>
        <w:rPr>
          <w:rFonts w:ascii="Times New Roman" w:hAnsi="Times New Roman"/>
          <w:b/>
          <w:bCs/>
          <w:sz w:val="24"/>
          <w:szCs w:val="24"/>
        </w:rPr>
      </w:pPr>
      <w:r w:rsidRPr="000976DE">
        <w:rPr>
          <w:rFonts w:ascii="Times New Roman" w:hAnsi="Times New Roman"/>
          <w:b/>
          <w:bCs/>
          <w:sz w:val="24"/>
          <w:szCs w:val="24"/>
        </w:rPr>
        <w:t xml:space="preserve">Supplementary Appendix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0976DE"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0976D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76DE">
        <w:rPr>
          <w:rFonts w:ascii="Times New Roman" w:hAnsi="Times New Roman"/>
          <w:sz w:val="24"/>
          <w:szCs w:val="24"/>
        </w:rPr>
        <w:t>Selection of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76DE">
        <w:rPr>
          <w:rFonts w:ascii="Times New Roman" w:hAnsi="Times New Roman"/>
          <w:sz w:val="24"/>
          <w:szCs w:val="24"/>
        </w:rPr>
        <w:t>possible hub genes of TRPV1 in ACC. Panel A: The clustering tree diagram indicates that specific sample (above the red line) with distinct outliers should be excluded; the remaining samples (below the red line) were utilized for subsequent analysis. Panel B: The soft threshold was set as 4. Panels C–D: Modules were determined in hierarchical clustering, of which the “</w:t>
      </w:r>
      <w:r>
        <w:rPr>
          <w:rFonts w:ascii="Times New Roman" w:hAnsi="Times New Roman"/>
          <w:sz w:val="24"/>
          <w:szCs w:val="24"/>
        </w:rPr>
        <w:t>blue</w:t>
      </w:r>
      <w:r w:rsidRPr="000976DE">
        <w:rPr>
          <w:rFonts w:ascii="Times New Roman" w:hAnsi="Times New Roman"/>
          <w:sz w:val="24"/>
          <w:szCs w:val="24"/>
        </w:rPr>
        <w:t xml:space="preserve">” module </w:t>
      </w:r>
      <w:r>
        <w:rPr>
          <w:rFonts w:ascii="Times New Roman" w:hAnsi="Times New Roman"/>
          <w:sz w:val="24"/>
          <w:szCs w:val="24"/>
        </w:rPr>
        <w:t xml:space="preserve">(except for the grey module) </w:t>
      </w:r>
      <w:r w:rsidRPr="000976DE">
        <w:rPr>
          <w:rFonts w:ascii="Times New Roman" w:hAnsi="Times New Roman"/>
          <w:sz w:val="24"/>
          <w:szCs w:val="24"/>
        </w:rPr>
        <w:t>had the strongest correlation with the TRPV1 expression by Pearson correlation coefficient. Panel E: A significant positive correlation between gene significance of TRPV1 expression and module membership in the “</w:t>
      </w:r>
      <w:r>
        <w:rPr>
          <w:rFonts w:ascii="Times New Roman" w:hAnsi="Times New Roman"/>
          <w:sz w:val="24"/>
          <w:szCs w:val="24"/>
        </w:rPr>
        <w:t>blue</w:t>
      </w:r>
      <w:r w:rsidRPr="000976DE">
        <w:rPr>
          <w:rFonts w:ascii="Times New Roman" w:hAnsi="Times New Roman"/>
          <w:sz w:val="24"/>
          <w:szCs w:val="24"/>
        </w:rPr>
        <w:t xml:space="preserve">” module. Panel F: </w:t>
      </w:r>
      <w:r>
        <w:rPr>
          <w:rFonts w:ascii="Times New Roman" w:hAnsi="Times New Roman"/>
          <w:sz w:val="24"/>
          <w:szCs w:val="24"/>
        </w:rPr>
        <w:t>EFR3B, TMSB15B, and EFS</w:t>
      </w:r>
      <w:r w:rsidRPr="000976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were</w:t>
      </w:r>
      <w:r w:rsidRPr="000976DE">
        <w:rPr>
          <w:rFonts w:ascii="Times New Roman" w:hAnsi="Times New Roman"/>
          <w:sz w:val="24"/>
          <w:szCs w:val="24"/>
        </w:rPr>
        <w:t xml:space="preserve"> the hub gene of the “</w:t>
      </w:r>
      <w:r>
        <w:rPr>
          <w:rFonts w:ascii="Times New Roman" w:hAnsi="Times New Roman"/>
          <w:sz w:val="24"/>
          <w:szCs w:val="24"/>
        </w:rPr>
        <w:t>blue</w:t>
      </w:r>
      <w:r w:rsidRPr="000976DE">
        <w:rPr>
          <w:rFonts w:ascii="Times New Roman" w:hAnsi="Times New Roman"/>
          <w:sz w:val="24"/>
          <w:szCs w:val="24"/>
        </w:rPr>
        <w:t xml:space="preserve">” module; the network was constructed in </w:t>
      </w:r>
      <w:proofErr w:type="spellStart"/>
      <w:r w:rsidRPr="000976DE">
        <w:rPr>
          <w:rFonts w:ascii="Times New Roman" w:hAnsi="Times New Roman"/>
          <w:sz w:val="24"/>
          <w:szCs w:val="24"/>
        </w:rPr>
        <w:t>Cytoscape</w:t>
      </w:r>
      <w:proofErr w:type="spellEnd"/>
      <w:r w:rsidRPr="000976DE">
        <w:rPr>
          <w:rFonts w:ascii="Times New Roman" w:hAnsi="Times New Roman"/>
          <w:sz w:val="24"/>
          <w:szCs w:val="24"/>
        </w:rPr>
        <w:t xml:space="preserve"> with the “degree” algorithm. In </w:t>
      </w:r>
      <w:proofErr w:type="spellStart"/>
      <w:r w:rsidRPr="000976DE">
        <w:rPr>
          <w:rFonts w:ascii="Times New Roman" w:hAnsi="Times New Roman"/>
          <w:sz w:val="24"/>
          <w:szCs w:val="24"/>
        </w:rPr>
        <w:t>Cytoscape</w:t>
      </w:r>
      <w:proofErr w:type="spellEnd"/>
      <w:r w:rsidRPr="000976DE">
        <w:rPr>
          <w:rFonts w:ascii="Times New Roman" w:hAnsi="Times New Roman"/>
          <w:sz w:val="24"/>
          <w:szCs w:val="24"/>
        </w:rPr>
        <w:t>, the visualization network was constructed based on the top 100 genes (rank by the weight values) of the “</w:t>
      </w:r>
      <w:r>
        <w:rPr>
          <w:rFonts w:ascii="Times New Roman" w:hAnsi="Times New Roman"/>
          <w:sz w:val="24"/>
          <w:szCs w:val="24"/>
        </w:rPr>
        <w:t>blue</w:t>
      </w:r>
      <w:r w:rsidRPr="000976DE">
        <w:rPr>
          <w:rFonts w:ascii="Times New Roman" w:hAnsi="Times New Roman"/>
          <w:sz w:val="24"/>
          <w:szCs w:val="24"/>
        </w:rPr>
        <w:t>” module; genes not in the most extensive network are not displayed.</w:t>
      </w:r>
      <w:r w:rsidRPr="00F0612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42F820D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</w:p>
    <w:p w14:paraId="3D9D0D02" w14:textId="77777777" w:rsidR="00F27263" w:rsidRDefault="00F27263" w:rsidP="00F27263">
      <w:pPr>
        <w:rPr>
          <w:rFonts w:ascii="Times New Roman" w:hAnsi="Times New Roman"/>
          <w:sz w:val="24"/>
          <w:szCs w:val="24"/>
        </w:rPr>
      </w:pPr>
    </w:p>
    <w:p w14:paraId="4D08C8DD" w14:textId="77777777" w:rsidR="00F27263" w:rsidRPr="003C0E88" w:rsidRDefault="00F27263" w:rsidP="00F27263">
      <w:pPr>
        <w:pStyle w:val="a3"/>
        <w:keepNext/>
        <w:rPr>
          <w:rFonts w:ascii="Times New Roman" w:hAnsi="Times New Roman" w:cs="Times New Roman"/>
          <w:sz w:val="24"/>
          <w:szCs w:val="24"/>
        </w:rPr>
      </w:pPr>
      <w:bookmarkStart w:id="2" w:name="_Hlk102747475"/>
      <w:r w:rsidRPr="003C0E88">
        <w:rPr>
          <w:rFonts w:ascii="Times New Roman" w:hAnsi="Times New Roman" w:cs="Times New Roman"/>
          <w:b/>
          <w:bCs/>
          <w:noProof/>
          <w:sz w:val="24"/>
          <w:szCs w:val="24"/>
        </w:rPr>
        <w:t>Supplementary Appendix 8.</w:t>
      </w:r>
      <w:r w:rsidRPr="003C0E88">
        <w:rPr>
          <w:rFonts w:ascii="Times New Roman" w:hAnsi="Times New Roman" w:cs="Times New Roman"/>
          <w:noProof/>
          <w:sz w:val="24"/>
          <w:szCs w:val="24"/>
        </w:rPr>
        <w:t xml:space="preserve"> Correlation between </w:t>
      </w:r>
      <w:r w:rsidRPr="003C0E88">
        <w:rPr>
          <w:rFonts w:ascii="Times New Roman" w:hAnsi="Times New Roman" w:cs="Times New Roman"/>
          <w:i/>
          <w:iCs/>
          <w:noProof/>
          <w:sz w:val="24"/>
          <w:szCs w:val="24"/>
        </w:rPr>
        <w:t>TRPV1</w:t>
      </w:r>
      <w:r w:rsidRPr="003C0E88">
        <w:rPr>
          <w:rFonts w:ascii="Times New Roman" w:hAnsi="Times New Roman" w:cs="Times New Roman"/>
          <w:noProof/>
          <w:sz w:val="24"/>
          <w:szCs w:val="24"/>
        </w:rPr>
        <w:t xml:space="preserve"> expression level and IC50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of </w:t>
      </w:r>
      <w:r w:rsidRPr="003C0E88">
        <w:rPr>
          <w:rFonts w:ascii="Times New Roman" w:hAnsi="Times New Roman" w:cs="Times New Roman"/>
          <w:noProof/>
          <w:sz w:val="24"/>
          <w:szCs w:val="24"/>
        </w:rPr>
        <w:t>drug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 with a </w:t>
      </w:r>
      <w:r w:rsidRPr="00AE7FF5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noProof/>
          <w:sz w:val="24"/>
          <w:szCs w:val="24"/>
        </w:rPr>
        <w:t>-value less than 0.01.</w:t>
      </w:r>
      <w:r w:rsidRPr="003C0E8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tbl>
      <w:tblPr>
        <w:tblW w:w="756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3878"/>
        <w:gridCol w:w="1040"/>
      </w:tblGrid>
      <w:tr w:rsidR="00F27263" w:rsidRPr="00B33FBF" w14:paraId="10C74259" w14:textId="77777777" w:rsidTr="00135A6F">
        <w:trPr>
          <w:trHeight w:val="310"/>
          <w:jc w:val="center"/>
        </w:trPr>
        <w:tc>
          <w:tcPr>
            <w:tcW w:w="26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9688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Drug</w:t>
            </w:r>
          </w:p>
        </w:tc>
        <w:tc>
          <w:tcPr>
            <w:tcW w:w="38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CDD9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 xml:space="preserve">Spearman </w:t>
            </w:r>
            <w:r w:rsidRPr="003C0E88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Correlation Coefficient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F3FE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</w:t>
            </w: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value</w:t>
            </w:r>
          </w:p>
        </w:tc>
      </w:tr>
      <w:tr w:rsidR="00F27263" w:rsidRPr="00B33FBF" w14:paraId="59A3E172" w14:textId="77777777" w:rsidTr="00135A6F">
        <w:trPr>
          <w:trHeight w:val="310"/>
          <w:jc w:val="center"/>
        </w:trPr>
        <w:tc>
          <w:tcPr>
            <w:tcW w:w="26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1989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I-BET-762</w:t>
            </w:r>
          </w:p>
        </w:tc>
        <w:tc>
          <w:tcPr>
            <w:tcW w:w="38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885E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-0.461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51B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27263" w:rsidRPr="00B33FBF" w14:paraId="515C4216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7F0CACB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INCB-057643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244A4A8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-0.388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119444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0.003</w:t>
            </w:r>
          </w:p>
        </w:tc>
      </w:tr>
      <w:tr w:rsidR="00F27263" w:rsidRPr="00B33FBF" w14:paraId="7B006B46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5B6022FA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DOLASTATIN 10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122ABA9F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-0.364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C462B86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0.005</w:t>
            </w:r>
          </w:p>
        </w:tc>
      </w:tr>
      <w:tr w:rsidR="00F27263" w:rsidRPr="00B33FBF" w14:paraId="48FE4D8A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5A20541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AEW-541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2546D358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-0.358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9269A68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0.006</w:t>
            </w:r>
          </w:p>
        </w:tc>
      </w:tr>
      <w:tr w:rsidR="00F27263" w:rsidRPr="00B33FBF" w14:paraId="0C47839E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5EF1851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ABBV-075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28BBB0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592655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0.008</w:t>
            </w:r>
          </w:p>
        </w:tc>
      </w:tr>
      <w:tr w:rsidR="00F27263" w:rsidRPr="00B33FBF" w14:paraId="2BB70FCE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2E910E5B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OTX-015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0DE0774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-0.335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74BA2F2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0.011</w:t>
            </w:r>
          </w:p>
        </w:tc>
      </w:tr>
      <w:tr w:rsidR="00F27263" w:rsidRPr="00B33FBF" w14:paraId="2EB147B7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28E62F46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ADW-742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21B05750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-0.335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126B76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0.011</w:t>
            </w:r>
          </w:p>
        </w:tc>
      </w:tr>
      <w:tr w:rsidR="00F27263" w:rsidRPr="00B33FBF" w14:paraId="5ABC91FB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6218F3A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Bet-BAY-002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247FBA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-0.331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8EE38E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0.012</w:t>
            </w:r>
          </w:p>
        </w:tc>
      </w:tr>
      <w:tr w:rsidR="00F27263" w:rsidRPr="00B33FBF" w14:paraId="57B840F4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0F392A6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AMG-51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1F1C20D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-0.329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5256C4B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0.013</w:t>
            </w:r>
          </w:p>
        </w:tc>
      </w:tr>
      <w:tr w:rsidR="00F27263" w:rsidRPr="00B33FBF" w14:paraId="20F26684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52A0A3F6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Selumetinib</w:t>
            </w:r>
            <w:proofErr w:type="spellEnd"/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7BEED9B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-0.328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AE39F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0.013</w:t>
            </w:r>
          </w:p>
        </w:tc>
      </w:tr>
      <w:tr w:rsidR="00F27263" w:rsidRPr="00B33FBF" w14:paraId="34745921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0E5388D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Defactinib</w:t>
            </w:r>
            <w:proofErr w:type="spellEnd"/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35B513AB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-0.328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EC05B1D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0.013</w:t>
            </w:r>
          </w:p>
        </w:tc>
      </w:tr>
      <w:tr w:rsidR="00F27263" w:rsidRPr="00B33FBF" w14:paraId="4ABBBDC9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6E8C088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BMS-986158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0D30E098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-0.328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724D2E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0.013</w:t>
            </w:r>
          </w:p>
        </w:tc>
      </w:tr>
      <w:tr w:rsidR="00F27263" w:rsidRPr="00B33FBF" w14:paraId="1885F587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1F6CA80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AZD-5153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2675FBFE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-0.315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750F9A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0.017</w:t>
            </w:r>
          </w:p>
        </w:tc>
      </w:tr>
      <w:tr w:rsidR="00F27263" w:rsidRPr="00B33FBF" w14:paraId="28D1BC26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6628F390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HPI-1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4C14CC0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4E3236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0.018</w:t>
            </w:r>
          </w:p>
        </w:tc>
      </w:tr>
      <w:tr w:rsidR="00F27263" w:rsidRPr="00B33FBF" w14:paraId="4204582A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112BCB3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lastRenderedPageBreak/>
              <w:t>GSK-2194069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581F7C1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-0.304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AE8049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0.022</w:t>
            </w:r>
          </w:p>
        </w:tc>
      </w:tr>
      <w:tr w:rsidR="00F27263" w:rsidRPr="00B33FBF" w14:paraId="5D6AA7C7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3BB7182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ARRY-162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A266249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-0.303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D958DB8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0.022</w:t>
            </w:r>
          </w:p>
        </w:tc>
      </w:tr>
      <w:tr w:rsidR="00F27263" w:rsidRPr="00B33FBF" w14:paraId="7C0689E6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5FB378A0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Cs-1730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03276B38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-0.303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A48F5B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0.022</w:t>
            </w:r>
          </w:p>
        </w:tc>
      </w:tr>
      <w:tr w:rsidR="00F27263" w:rsidRPr="00B33FBF" w14:paraId="01B359F7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21E5446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I-BET-151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37DE30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-0.301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F7B8BEA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0.023</w:t>
            </w:r>
          </w:p>
        </w:tc>
      </w:tr>
      <w:tr w:rsidR="00F27263" w:rsidRPr="00B33FBF" w14:paraId="394425EE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588F16EB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PYRAZOLOACRIDINE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046F2C70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0.298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0880DB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0.024</w:t>
            </w:r>
          </w:p>
        </w:tc>
      </w:tr>
      <w:tr w:rsidR="00F27263" w:rsidRPr="00B33FBF" w14:paraId="1A545D0A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066FE32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Dabrafenib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0D6ABBF2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-0.296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2B8E5CA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0.025</w:t>
            </w:r>
          </w:p>
        </w:tc>
      </w:tr>
      <w:tr w:rsidR="00F27263" w:rsidRPr="00B33FBF" w14:paraId="74809854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3181F644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Sulfatinib</w:t>
            </w:r>
            <w:proofErr w:type="spellEnd"/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61D159EE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-0.294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773E76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0.027</w:t>
            </w:r>
          </w:p>
        </w:tc>
      </w:tr>
      <w:tr w:rsidR="00F27263" w:rsidRPr="00B33FBF" w14:paraId="1FE63998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0460C6C8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PFI-1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0FB6884D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-0.29</w:t>
            </w:r>
            <w:r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97BACD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0.028</w:t>
            </w:r>
          </w:p>
        </w:tc>
      </w:tr>
      <w:tr w:rsidR="00F27263" w:rsidRPr="00B33FBF" w14:paraId="504310CE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5E3C3E0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ABBV-744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482398A2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-0.288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8A36AC0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0.030</w:t>
            </w:r>
          </w:p>
        </w:tc>
      </w:tr>
      <w:tr w:rsidR="00F27263" w:rsidRPr="00B33FBF" w14:paraId="034A0953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37E88C7F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JNJ-28312141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6F62BFE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-0.288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69AE2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0.030</w:t>
            </w:r>
          </w:p>
        </w:tc>
      </w:tr>
      <w:tr w:rsidR="00F27263" w:rsidRPr="00B33FBF" w14:paraId="3542B1F9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4A5466C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Cyclophosphamide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22F6DD66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-0.279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985004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0.036</w:t>
            </w:r>
          </w:p>
        </w:tc>
      </w:tr>
      <w:tr w:rsidR="00F27263" w:rsidRPr="00B33FBF" w14:paraId="1D596B38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5AB2757F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RG-7602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0B52736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-0.278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521662B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0.037</w:t>
            </w:r>
          </w:p>
        </w:tc>
      </w:tr>
      <w:tr w:rsidR="00F27263" w:rsidRPr="00B33FBF" w14:paraId="25EC3490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0A7316E4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CEP-9722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C41F09B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0.275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B86AF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0.039</w:t>
            </w:r>
          </w:p>
        </w:tc>
      </w:tr>
      <w:tr w:rsidR="00F27263" w:rsidRPr="00B33FBF" w14:paraId="3F620CF6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71A93FF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ST-3595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0506F345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0.274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6AF5523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0.039</w:t>
            </w:r>
          </w:p>
        </w:tc>
      </w:tr>
      <w:tr w:rsidR="00F27263" w:rsidRPr="00B33FBF" w14:paraId="4ECBB2AD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2F980CEA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Tandutinib</w:t>
            </w:r>
            <w:proofErr w:type="spellEnd"/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73434C9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-0.273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DA03A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0.040</w:t>
            </w:r>
          </w:p>
        </w:tc>
      </w:tr>
      <w:tr w:rsidR="00F27263" w:rsidRPr="00B33FBF" w14:paraId="2C561574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779284D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Adavosertib</w:t>
            </w:r>
            <w:proofErr w:type="spellEnd"/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4AFF1ED2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-0.269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4E3BBA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0.043</w:t>
            </w:r>
          </w:p>
        </w:tc>
      </w:tr>
      <w:tr w:rsidR="00F27263" w:rsidRPr="00B33FBF" w14:paraId="0998B325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7D81D688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Ensartinib</w:t>
            </w:r>
            <w:proofErr w:type="spellEnd"/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91025F9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-0.268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8DCA59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0.044</w:t>
            </w:r>
          </w:p>
        </w:tc>
      </w:tr>
      <w:tr w:rsidR="00F27263" w:rsidRPr="00B33FBF" w14:paraId="3BF1D342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421D3AD4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CH-7057288</w:t>
            </w:r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7666AD2E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-0.267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C0EB991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0.045</w:t>
            </w:r>
          </w:p>
        </w:tc>
      </w:tr>
      <w:tr w:rsidR="00F27263" w:rsidRPr="00B33FBF" w14:paraId="08FB4D70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47424DD0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Refametinib</w:t>
            </w:r>
            <w:proofErr w:type="spellEnd"/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55AFFF4D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-0.264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BE20589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0.048</w:t>
            </w:r>
          </w:p>
        </w:tc>
      </w:tr>
      <w:tr w:rsidR="00F27263" w:rsidRPr="00B33FBF" w14:paraId="0D329229" w14:textId="77777777" w:rsidTr="00135A6F">
        <w:trPr>
          <w:trHeight w:val="310"/>
          <w:jc w:val="center"/>
        </w:trPr>
        <w:tc>
          <w:tcPr>
            <w:tcW w:w="2643" w:type="dxa"/>
            <w:shd w:val="clear" w:color="auto" w:fill="auto"/>
            <w:noWrap/>
            <w:vAlign w:val="center"/>
            <w:hideMark/>
          </w:tcPr>
          <w:p w14:paraId="2BD66E0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Bafetinib</w:t>
            </w:r>
            <w:proofErr w:type="spellEnd"/>
          </w:p>
        </w:tc>
        <w:tc>
          <w:tcPr>
            <w:tcW w:w="3878" w:type="dxa"/>
            <w:shd w:val="clear" w:color="auto" w:fill="auto"/>
            <w:noWrap/>
            <w:vAlign w:val="center"/>
            <w:hideMark/>
          </w:tcPr>
          <w:p w14:paraId="5C488A37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-0.263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EB413C" w14:textId="77777777" w:rsidR="00F27263" w:rsidRPr="00B33FBF" w:rsidRDefault="00F27263" w:rsidP="00135A6F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</w:pPr>
            <w:r w:rsidRPr="00B33FBF">
              <w:rPr>
                <w:rFonts w:ascii="Times New Roman" w:eastAsia="等线" w:hAnsi="Times New Roman"/>
                <w:color w:val="000000"/>
                <w:kern w:val="0"/>
                <w:sz w:val="24"/>
                <w:szCs w:val="24"/>
              </w:rPr>
              <w:t>0.048</w:t>
            </w:r>
          </w:p>
        </w:tc>
      </w:tr>
      <w:bookmarkEnd w:id="2"/>
    </w:tbl>
    <w:p w14:paraId="1AE3ED5A" w14:textId="77777777" w:rsidR="005B3A2C" w:rsidRDefault="005B3A2C"/>
    <w:sectPr w:rsidR="005B3A2C" w:rsidSect="00545E8E">
      <w:pgSz w:w="11906" w:h="16838" w:code="9"/>
      <w:pgMar w:top="1440" w:right="1083" w:bottom="1440" w:left="1083" w:header="851" w:footer="992" w:gutter="0"/>
      <w:cols w:space="425"/>
      <w:titlePg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B74F3" w14:textId="77777777" w:rsidR="006049D3" w:rsidRDefault="006049D3" w:rsidP="00F27263">
      <w:r>
        <w:separator/>
      </w:r>
    </w:p>
  </w:endnote>
  <w:endnote w:type="continuationSeparator" w:id="0">
    <w:p w14:paraId="6EEFC8CA" w14:textId="77777777" w:rsidR="006049D3" w:rsidRDefault="006049D3" w:rsidP="00F27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40F6E" w14:textId="77777777" w:rsidR="006049D3" w:rsidRDefault="006049D3" w:rsidP="00F27263">
      <w:r>
        <w:separator/>
      </w:r>
    </w:p>
  </w:footnote>
  <w:footnote w:type="continuationSeparator" w:id="0">
    <w:p w14:paraId="3E6B45EA" w14:textId="77777777" w:rsidR="006049D3" w:rsidRDefault="006049D3" w:rsidP="00F272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E03"/>
    <w:rsid w:val="00140E03"/>
    <w:rsid w:val="003240A9"/>
    <w:rsid w:val="00545E8E"/>
    <w:rsid w:val="005B3A2C"/>
    <w:rsid w:val="006049D3"/>
    <w:rsid w:val="00B46BC6"/>
    <w:rsid w:val="00C81F4A"/>
    <w:rsid w:val="00F2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CA69B6"/>
  <w15:chartTrackingRefBased/>
  <w15:docId w15:val="{D1DA037C-560B-4AE5-B639-F1D29A00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1F4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27263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C81F4A"/>
    <w:pPr>
      <w:tabs>
        <w:tab w:val="center" w:pos="4153"/>
        <w:tab w:val="right" w:pos="8306"/>
      </w:tabs>
    </w:pPr>
  </w:style>
  <w:style w:type="character" w:customStyle="1" w:styleId="a5">
    <w:name w:val="页眉 字符"/>
    <w:basedOn w:val="a0"/>
    <w:link w:val="a4"/>
    <w:uiPriority w:val="99"/>
    <w:rsid w:val="00C81F4A"/>
    <w:rPr>
      <w:rFonts w:ascii="Calibri" w:eastAsia="宋体" w:hAnsi="Calibri" w:cs="Times New Roman"/>
    </w:rPr>
  </w:style>
  <w:style w:type="paragraph" w:styleId="a6">
    <w:name w:val="footer"/>
    <w:basedOn w:val="a"/>
    <w:link w:val="a7"/>
    <w:uiPriority w:val="99"/>
    <w:unhideWhenUsed/>
    <w:rsid w:val="00C81F4A"/>
    <w:pPr>
      <w:tabs>
        <w:tab w:val="center" w:pos="4153"/>
        <w:tab w:val="right" w:pos="8306"/>
      </w:tabs>
    </w:pPr>
  </w:style>
  <w:style w:type="character" w:customStyle="1" w:styleId="a7">
    <w:name w:val="页脚 字符"/>
    <w:basedOn w:val="a0"/>
    <w:link w:val="a6"/>
    <w:uiPriority w:val="99"/>
    <w:rsid w:val="00C81F4A"/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1032</Words>
  <Characters>5883</Characters>
  <Application>Microsoft Office Word</Application>
  <DocSecurity>0</DocSecurity>
  <Lines>49</Lines>
  <Paragraphs>13</Paragraphs>
  <ScaleCrop>false</ScaleCrop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yulan</dc:creator>
  <cp:keywords/>
  <dc:description/>
  <cp:lastModifiedBy>zhao yulan</cp:lastModifiedBy>
  <cp:revision>3</cp:revision>
  <dcterms:created xsi:type="dcterms:W3CDTF">2022-05-30T06:18:00Z</dcterms:created>
  <dcterms:modified xsi:type="dcterms:W3CDTF">2022-06-09T02:44:00Z</dcterms:modified>
</cp:coreProperties>
</file>