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55DC" w14:textId="2D30536D" w:rsidR="00FA0DCF" w:rsidRPr="00E7730E" w:rsidRDefault="00FA0DCF" w:rsidP="00FA0DCF">
      <w:pPr>
        <w:spacing w:line="300" w:lineRule="atLeast"/>
        <w:ind w:left="6917"/>
        <w:jc w:val="left"/>
        <w:textAlignment w:val="top"/>
        <w:rPr>
          <w:rFonts w:ascii="Times New Roman" w:eastAsia="宋体" w:hAnsi="Times New Roman" w:cs="Times New Roman"/>
          <w:sz w:val="22"/>
        </w:rPr>
      </w:pPr>
      <w:r w:rsidRPr="00E7730E">
        <w:rPr>
          <w:rFonts w:ascii="Times New Roman" w:eastAsia="宋体" w:hAnsi="Times New Roman" w:cs="Times New Roman"/>
          <w:sz w:val="22"/>
        </w:rPr>
        <w:t xml:space="preserve">MBE, 19(9): </w:t>
      </w:r>
      <w:bookmarkStart w:id="0" w:name="_Hlk93480836"/>
      <w:r w:rsidR="00281C23" w:rsidRPr="00281C23">
        <w:rPr>
          <w:rFonts w:ascii="Times New Roman" w:eastAsia="宋体" w:hAnsi="Times New Roman" w:cs="Times New Roman"/>
          <w:color w:val="000000" w:themeColor="text1"/>
          <w:sz w:val="22"/>
        </w:rPr>
        <w:t>9481–9504</w:t>
      </w:r>
      <w:r w:rsidRPr="00E7730E">
        <w:rPr>
          <w:rFonts w:ascii="Times New Roman" w:eastAsia="宋体" w:hAnsi="Times New Roman" w:cs="Times New Roman"/>
          <w:color w:val="000000" w:themeColor="text1"/>
          <w:sz w:val="22"/>
        </w:rPr>
        <w:t>.</w:t>
      </w:r>
      <w:bookmarkEnd w:id="0"/>
      <w:r w:rsidRPr="00E7730E">
        <w:rPr>
          <w:rFonts w:ascii="Times New Roman" w:eastAsia="宋体" w:hAnsi="Times New Roman" w:cs="Times New Roman"/>
          <w:color w:val="FF0000"/>
          <w:sz w:val="22"/>
        </w:rPr>
        <w:br/>
      </w:r>
      <w:r w:rsidRPr="00E7730E"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79D620BB" wp14:editId="26B2B0C7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2981960" cy="595630"/>
            <wp:effectExtent l="19050" t="0" r="0" b="0"/>
            <wp:wrapNone/>
            <wp:docPr id="21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730E">
        <w:rPr>
          <w:rFonts w:ascii="Times New Roman" w:eastAsia="宋体" w:hAnsi="Times New Roman" w:cs="Times New Roman"/>
          <w:sz w:val="22"/>
        </w:rPr>
        <w:t>DOI: 10.3934/mbe.2022</w:t>
      </w:r>
      <w:r w:rsidR="00281C23">
        <w:rPr>
          <w:rFonts w:ascii="Times New Roman" w:eastAsia="宋体" w:hAnsi="Times New Roman" w:cs="Times New Roman"/>
          <w:sz w:val="22"/>
        </w:rPr>
        <w:t>441</w:t>
      </w:r>
      <w:r w:rsidRPr="00E7730E">
        <w:rPr>
          <w:rFonts w:ascii="Times New Roman" w:eastAsia="宋体" w:hAnsi="Times New Roman" w:cs="Times New Roman"/>
          <w:sz w:val="22"/>
        </w:rPr>
        <w:br/>
        <w:t>Received: 03 April 2022</w:t>
      </w:r>
    </w:p>
    <w:p w14:paraId="53C3A8DF" w14:textId="6C3FF354" w:rsidR="00FA0DCF" w:rsidRPr="00E7730E" w:rsidRDefault="00FA0DCF" w:rsidP="00FA0DCF">
      <w:pPr>
        <w:spacing w:line="300" w:lineRule="atLeast"/>
        <w:ind w:left="6917"/>
        <w:jc w:val="left"/>
        <w:textAlignment w:val="top"/>
        <w:rPr>
          <w:rFonts w:ascii="Times New Roman" w:eastAsia="宋体" w:hAnsi="Times New Roman" w:cs="Times New Roman"/>
          <w:sz w:val="22"/>
        </w:rPr>
      </w:pPr>
      <w:r w:rsidRPr="00E7730E">
        <w:rPr>
          <w:rFonts w:ascii="Times New Roman" w:eastAsia="宋体" w:hAnsi="Times New Roman" w:cs="Times New Roman"/>
          <w:sz w:val="22"/>
        </w:rPr>
        <w:t>Revised: 08 June 2022</w:t>
      </w:r>
      <w:r w:rsidRPr="00E7730E">
        <w:rPr>
          <w:rFonts w:ascii="Times New Roman" w:eastAsia="宋体" w:hAnsi="Times New Roman" w:cs="Times New Roman"/>
          <w:sz w:val="22"/>
        </w:rPr>
        <w:br/>
        <w:t>Accepted: 20 June 2022</w:t>
      </w:r>
      <w:r w:rsidRPr="00E7730E">
        <w:rPr>
          <w:rFonts w:ascii="Times New Roman" w:eastAsia="宋体" w:hAnsi="Times New Roman" w:cs="Times New Roman"/>
          <w:sz w:val="22"/>
        </w:rPr>
        <w:br/>
        <w:t xml:space="preserve">Published: </w:t>
      </w:r>
      <w:r w:rsidR="00281C23">
        <w:rPr>
          <w:rFonts w:ascii="Times New Roman" w:eastAsia="宋体" w:hAnsi="Times New Roman" w:cs="Times New Roman"/>
          <w:sz w:val="22"/>
        </w:rPr>
        <w:t>29</w:t>
      </w:r>
      <w:r w:rsidRPr="00E7730E">
        <w:rPr>
          <w:rFonts w:ascii="Times New Roman" w:eastAsia="宋体" w:hAnsi="Times New Roman" w:cs="Times New Roman"/>
          <w:sz w:val="22"/>
        </w:rPr>
        <w:t xml:space="preserve"> June 2022</w:t>
      </w:r>
    </w:p>
    <w:p w14:paraId="14324596" w14:textId="77777777" w:rsidR="00FA0DCF" w:rsidRPr="00E7730E" w:rsidRDefault="00FA0DCF" w:rsidP="00FA0DCF">
      <w:pPr>
        <w:spacing w:line="300" w:lineRule="atLeast"/>
        <w:rPr>
          <w:rFonts w:ascii="Times New Roman" w:eastAsia="宋体" w:hAnsi="Times New Roman" w:cs="Times New Roman"/>
          <w:sz w:val="22"/>
        </w:rPr>
      </w:pPr>
      <w:r w:rsidRPr="00E7730E">
        <w:rPr>
          <w:rFonts w:ascii="Times New Roman" w:eastAsia="宋体" w:hAnsi="Times New Roman" w:cs="Times New Roman"/>
          <w:sz w:val="22"/>
        </w:rPr>
        <w:t>http://www.aimspress.com/journal/MBE</w:t>
      </w:r>
    </w:p>
    <w:p w14:paraId="67A44569" w14:textId="77777777" w:rsidR="00FA0DCF" w:rsidRPr="00E7730E" w:rsidRDefault="00FA0DCF" w:rsidP="00FA0DCF">
      <w:pPr>
        <w:pBdr>
          <w:bottom w:val="single" w:sz="24" w:space="1" w:color="auto"/>
        </w:pBdr>
        <w:spacing w:line="300" w:lineRule="atLeast"/>
        <w:rPr>
          <w:rFonts w:ascii="Times New Roman" w:hAnsi="Times New Roman" w:cs="Times New Roman"/>
        </w:rPr>
      </w:pPr>
    </w:p>
    <w:p w14:paraId="2407B6A5" w14:textId="77777777" w:rsidR="00FA0DCF" w:rsidRPr="00E7730E" w:rsidRDefault="00FA0DCF" w:rsidP="00FA0DCF">
      <w:pPr>
        <w:spacing w:beforeLines="100" w:before="312" w:line="300" w:lineRule="atLeas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E7730E">
        <w:rPr>
          <w:rFonts w:ascii="Times New Roman" w:hAnsi="Times New Roman" w:cs="Times New Roman"/>
          <w:b/>
          <w:i/>
          <w:sz w:val="24"/>
          <w:szCs w:val="24"/>
        </w:rPr>
        <w:t>Research article</w:t>
      </w:r>
    </w:p>
    <w:p w14:paraId="56F6A830" w14:textId="77777777" w:rsidR="00FA0DCF" w:rsidRPr="00E7730E" w:rsidRDefault="00FA0DCF" w:rsidP="00FA0DCF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95934508"/>
      <w:r w:rsidRPr="00E7730E">
        <w:rPr>
          <w:rFonts w:ascii="Times New Roman" w:hAnsi="Times New Roman" w:cs="Times New Roman"/>
          <w:b/>
          <w:bCs/>
          <w:sz w:val="32"/>
          <w:szCs w:val="32"/>
        </w:rPr>
        <w:t>A novel defined risk signature of interferon response genes predicts the prognosis and correlates with immune infiltration in glioblastoma</w:t>
      </w:r>
      <w:bookmarkEnd w:id="1"/>
    </w:p>
    <w:p w14:paraId="2228C8F1" w14:textId="77777777" w:rsidR="009D7924" w:rsidRPr="009D7924" w:rsidRDefault="009D7924" w:rsidP="009D7924">
      <w:pPr>
        <w:spacing w:beforeLines="100" w:before="312" w:line="300" w:lineRule="atLeast"/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</w:pPr>
      <w:r w:rsidRPr="009D7924">
        <w:rPr>
          <w:rFonts w:ascii="Times New Roman" w:eastAsia="等线" w:hAnsi="Times New Roman" w:cs="Times New Roman" w:hint="eastAsia"/>
          <w:b/>
          <w:bCs/>
          <w:spacing w:val="-4"/>
          <w:sz w:val="24"/>
          <w:szCs w:val="24"/>
        </w:rPr>
        <w:t>Yong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 Xiao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</w:t>
      </w:r>
      <w:proofErr w:type="gramStart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2,</w:t>
      </w:r>
      <w:r w:rsidRPr="009D7924">
        <w:rPr>
          <w:rFonts w:ascii="Calibri" w:eastAsia="等线" w:hAnsi="Calibri" w:cs="Calibri"/>
          <w:spacing w:val="-4"/>
          <w:szCs w:val="21"/>
        </w:rPr>
        <w:t>†</w:t>
      </w:r>
      <w:proofErr w:type="gramEnd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Zhen Wang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1,2,</w:t>
      </w:r>
      <w:r w:rsidRPr="009D7924">
        <w:rPr>
          <w:rFonts w:ascii="Calibri" w:eastAsia="等线" w:hAnsi="Calibri" w:cs="Calibri"/>
          <w:spacing w:val="-4"/>
        </w:rPr>
        <w:t>†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Mengjie Zhao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2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Wei Ji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1,3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Chong Xiang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1,4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Taiping Li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2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R</w:t>
      </w:r>
      <w:r w:rsidRPr="009D7924">
        <w:rPr>
          <w:rFonts w:ascii="Times New Roman" w:eastAsia="等线" w:hAnsi="Times New Roman" w:cs="Times New Roman" w:hint="eastAsia"/>
          <w:b/>
          <w:bCs/>
          <w:spacing w:val="-4"/>
          <w:sz w:val="24"/>
          <w:szCs w:val="24"/>
        </w:rPr>
        <w:t>an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 Wang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1,2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Kun Yang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, </w:t>
      </w:r>
      <w:proofErr w:type="spellStart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Chunfa</w:t>
      </w:r>
      <w:proofErr w:type="spellEnd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 Qian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, </w:t>
      </w:r>
      <w:proofErr w:type="spellStart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Xianglong</w:t>
      </w:r>
      <w:proofErr w:type="spellEnd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 Tang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2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, Hong Xiao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2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, </w:t>
      </w:r>
      <w:proofErr w:type="spellStart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Yuanjie</w:t>
      </w:r>
      <w:proofErr w:type="spellEnd"/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 xml:space="preserve"> Zou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* and Hongyi Liu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  <w:vertAlign w:val="superscript"/>
        </w:rPr>
        <w:t>1,</w:t>
      </w:r>
      <w:r w:rsidRPr="009D7924">
        <w:rPr>
          <w:rFonts w:ascii="Times New Roman" w:eastAsia="等线" w:hAnsi="Times New Roman" w:cs="Times New Roman"/>
          <w:b/>
          <w:bCs/>
          <w:spacing w:val="-4"/>
          <w:sz w:val="24"/>
          <w:szCs w:val="24"/>
        </w:rPr>
        <w:t>*</w:t>
      </w:r>
    </w:p>
    <w:p w14:paraId="27C9D8E7" w14:textId="77777777" w:rsidR="00FA0DCF" w:rsidRPr="00E7730E" w:rsidRDefault="00FA0DCF" w:rsidP="00FA0DCF">
      <w:pPr>
        <w:spacing w:beforeLines="100" w:before="312" w:line="300" w:lineRule="atLeast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sz w:val="24"/>
          <w:szCs w:val="24"/>
        </w:rPr>
        <w:t>Department of Neurosurgery, Nanjing Brain Hospital Affiliated to Nanjing Medical University, Nanjing, China</w:t>
      </w:r>
    </w:p>
    <w:p w14:paraId="0592DA8E" w14:textId="77777777" w:rsidR="00FA0DCF" w:rsidRPr="00E7730E" w:rsidRDefault="00FA0DCF" w:rsidP="00FA0DCF">
      <w:pPr>
        <w:spacing w:line="300" w:lineRule="atLeast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sz w:val="24"/>
          <w:szCs w:val="24"/>
        </w:rPr>
        <w:t>Department of Neuro-Psychiatric Institute, Nanjing Brain Hospital Affiliated to Nanjing Medical University, Nanjing, China</w:t>
      </w:r>
    </w:p>
    <w:p w14:paraId="6DD73BBF" w14:textId="77777777" w:rsidR="00FA0DCF" w:rsidRPr="00E7730E" w:rsidRDefault="00FA0DCF" w:rsidP="00FA0DCF">
      <w:pPr>
        <w:spacing w:line="300" w:lineRule="atLeast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sz w:val="24"/>
          <w:szCs w:val="24"/>
        </w:rPr>
        <w:t>Department of Neurosurgery, Wuxi People’s Hospital of Nanjing Medical University, Wuxi, China</w:t>
      </w:r>
    </w:p>
    <w:p w14:paraId="751BF722" w14:textId="77777777" w:rsidR="00FA0DCF" w:rsidRPr="00E7730E" w:rsidRDefault="00FA0DCF" w:rsidP="00FA0DCF">
      <w:pPr>
        <w:spacing w:line="300" w:lineRule="atLeast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sz w:val="24"/>
          <w:szCs w:val="24"/>
        </w:rPr>
        <w:t xml:space="preserve">Department of Neurosurgery, Changzhou </w:t>
      </w:r>
      <w:proofErr w:type="spellStart"/>
      <w:r w:rsidRPr="00E7730E">
        <w:rPr>
          <w:rFonts w:ascii="Times New Roman" w:hAnsi="Times New Roman" w:cs="Times New Roman"/>
          <w:sz w:val="24"/>
          <w:szCs w:val="24"/>
        </w:rPr>
        <w:t>Wujin</w:t>
      </w:r>
      <w:proofErr w:type="spellEnd"/>
      <w:r w:rsidRPr="00E7730E">
        <w:rPr>
          <w:rFonts w:ascii="Times New Roman" w:hAnsi="Times New Roman" w:cs="Times New Roman"/>
          <w:sz w:val="24"/>
          <w:szCs w:val="24"/>
        </w:rPr>
        <w:t xml:space="preserve"> People’s Hospital, Changzhou, China</w:t>
      </w:r>
    </w:p>
    <w:p w14:paraId="5D0FC350" w14:textId="323E1C6E" w:rsidR="00873090" w:rsidRPr="00873090" w:rsidRDefault="00873090" w:rsidP="00873090">
      <w:pPr>
        <w:spacing w:beforeLines="100" w:before="312" w:line="300" w:lineRule="atLeast"/>
        <w:ind w:left="210" w:hangingChars="100" w:hanging="210"/>
        <w:rPr>
          <w:rFonts w:ascii="Times New Roman" w:hAnsi="Times New Roman" w:cs="Times New Roman" w:hint="eastAsia"/>
          <w:sz w:val="24"/>
          <w:szCs w:val="24"/>
        </w:rPr>
      </w:pPr>
      <w:r w:rsidRPr="00D94B66">
        <w:rPr>
          <w:rFonts w:ascii="Calibri" w:hAnsi="Calibri" w:cs="Calibri"/>
          <w:szCs w:val="21"/>
        </w:rPr>
        <w:t>†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sz w:val="24"/>
          <w:szCs w:val="24"/>
        </w:rPr>
        <w:t>The authors contributed equally to this work.</w:t>
      </w:r>
    </w:p>
    <w:p w14:paraId="4CE4D128" w14:textId="6B9C0F9C" w:rsidR="00FA0DCF" w:rsidRPr="00E7730E" w:rsidRDefault="00FA0DCF" w:rsidP="00FA0DCF">
      <w:pPr>
        <w:spacing w:beforeLines="100" w:before="312" w:line="300" w:lineRule="atLeast"/>
        <w:ind w:left="241" w:hangingChars="100" w:hanging="241"/>
        <w:rPr>
          <w:rFonts w:ascii="Times New Roman" w:hAnsi="Times New Roman" w:cs="Times New Roman"/>
          <w:sz w:val="24"/>
          <w:szCs w:val="24"/>
        </w:rPr>
      </w:pPr>
      <w:r w:rsidRPr="00E7730E">
        <w:rPr>
          <w:rFonts w:ascii="Times New Roman" w:hAnsi="Times New Roman" w:cs="Times New Roman"/>
          <w:b/>
          <w:sz w:val="24"/>
          <w:szCs w:val="24"/>
        </w:rPr>
        <w:t>*</w:t>
      </w:r>
      <w:r w:rsidRPr="00E7730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0E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E7730E">
        <w:rPr>
          <w:rFonts w:ascii="Times New Roman" w:hAnsi="Times New Roman" w:cs="Times New Roman"/>
          <w:sz w:val="24"/>
          <w:szCs w:val="24"/>
        </w:rPr>
        <w:t>: Email: zouyuanjie0115@126.com, njnkyylhy@163.com.</w:t>
      </w:r>
    </w:p>
    <w:p w14:paraId="495F86A9" w14:textId="77777777" w:rsidR="00AE674A" w:rsidRPr="00E7730E" w:rsidRDefault="00AE674A" w:rsidP="00AE674A">
      <w:pPr>
        <w:pBdr>
          <w:bottom w:val="single" w:sz="24" w:space="1" w:color="auto"/>
        </w:pBdr>
        <w:spacing w:line="320" w:lineRule="atLeast"/>
        <w:rPr>
          <w:rFonts w:ascii="Times New Roman" w:eastAsia="宋体" w:hAnsi="Times New Roman" w:cs="Times New Roman"/>
        </w:rPr>
      </w:pPr>
    </w:p>
    <w:p w14:paraId="33F7DC4B" w14:textId="33567529" w:rsidR="00CF480D" w:rsidRPr="00E7730E" w:rsidRDefault="00AE674A" w:rsidP="00AE674A">
      <w:pPr>
        <w:spacing w:beforeLines="100" w:before="312" w:afterLines="100" w:after="312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30E">
        <w:rPr>
          <w:rFonts w:ascii="Times New Roman" w:hAnsi="Times New Roman" w:cs="Times New Roman"/>
          <w:b/>
          <w:sz w:val="32"/>
          <w:szCs w:val="32"/>
        </w:rPr>
        <w:t>Supplementary</w:t>
      </w:r>
    </w:p>
    <w:p w14:paraId="16D970E7" w14:textId="6A0A5CD0" w:rsidR="00BA70C1" w:rsidRPr="00E7730E" w:rsidRDefault="00BA70C1" w:rsidP="000C6D52">
      <w:pPr>
        <w:spacing w:beforeLines="100" w:before="312" w:afterLines="50" w:after="156" w:line="3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730E">
        <w:rPr>
          <w:rFonts w:ascii="Times New Roman" w:hAnsi="Times New Roman" w:cs="Times New Roman"/>
          <w:b/>
          <w:sz w:val="24"/>
          <w:szCs w:val="24"/>
        </w:rPr>
        <w:t xml:space="preserve">Table S1. </w:t>
      </w:r>
      <w:r w:rsidRPr="00E7730E">
        <w:rPr>
          <w:rFonts w:ascii="Times New Roman" w:hAnsi="Times New Roman" w:cs="Times New Roman"/>
          <w:bCs/>
          <w:sz w:val="24"/>
          <w:szCs w:val="24"/>
        </w:rPr>
        <w:t>10 interferon response gene sets.</w:t>
      </w:r>
    </w:p>
    <w:tbl>
      <w:tblPr>
        <w:tblStyle w:val="a9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6241"/>
      </w:tblGrid>
      <w:tr w:rsidR="000C6D52" w:rsidRPr="000C6D52" w14:paraId="64C44C75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6C028933" w14:textId="77777777" w:rsidR="00BA70C1" w:rsidRPr="000C6D52" w:rsidRDefault="00BA70C1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GOBP_CELLULAR_RESPONSE_TO_INTERFERON_ALPHA</w:t>
            </w:r>
          </w:p>
        </w:tc>
        <w:tc>
          <w:tcPr>
            <w:tcW w:w="3132" w:type="pct"/>
            <w:noWrap/>
            <w:hideMark/>
          </w:tcPr>
          <w:p w14:paraId="38566097" w14:textId="77777777" w:rsidR="00BA70C1" w:rsidRPr="000C6D52" w:rsidRDefault="00CF039C">
            <w:pPr>
              <w:rPr>
                <w:rFonts w:ascii="Times New Roman" w:hAnsi="Times New Roman" w:cs="Times New Roman"/>
                <w:szCs w:val="21"/>
              </w:rPr>
            </w:pPr>
            <w:hyperlink r:id="rId9" w:history="1">
              <w:r w:rsidR="00BA70C1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http://www.gsea-msigdb.org/gsea/msigdb/cards/GOBP_CELLULAR_RESPONSE_TO_INTERFERON_ALPHA.html</w:t>
              </w:r>
            </w:hyperlink>
          </w:p>
        </w:tc>
      </w:tr>
      <w:tr w:rsidR="000C6D52" w:rsidRPr="000C6D52" w14:paraId="5AF08A8D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59B608E8" w14:textId="77777777" w:rsidR="00BA70C1" w:rsidRPr="000C6D52" w:rsidRDefault="00BA70C1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GOBP_CELLULAR_RESPONSE_TO_INTERFERON_BETA</w:t>
            </w:r>
          </w:p>
        </w:tc>
        <w:tc>
          <w:tcPr>
            <w:tcW w:w="3132" w:type="pct"/>
            <w:noWrap/>
            <w:hideMark/>
          </w:tcPr>
          <w:p w14:paraId="37809568" w14:textId="77777777" w:rsidR="00BA70C1" w:rsidRPr="000C6D52" w:rsidRDefault="00CF039C">
            <w:pPr>
              <w:rPr>
                <w:rFonts w:ascii="Times New Roman" w:hAnsi="Times New Roman" w:cs="Times New Roman"/>
                <w:szCs w:val="21"/>
              </w:rPr>
            </w:pPr>
            <w:hyperlink r:id="rId10" w:history="1">
              <w:r w:rsidR="00BA70C1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http://www.gsea-msigdb.org/gsea/msigdb/cards/GOBP_CELLULAR_RESPONSE_TO_INTERFERON_BETA.html</w:t>
              </w:r>
            </w:hyperlink>
          </w:p>
        </w:tc>
      </w:tr>
      <w:tr w:rsidR="000C6D52" w:rsidRPr="000C6D52" w14:paraId="29C3E649" w14:textId="77777777" w:rsidTr="000C6D52">
        <w:trPr>
          <w:trHeight w:val="276"/>
        </w:trPr>
        <w:tc>
          <w:tcPr>
            <w:tcW w:w="1868" w:type="pct"/>
            <w:tcBorders>
              <w:bottom w:val="single" w:sz="4" w:space="0" w:color="auto"/>
            </w:tcBorders>
            <w:noWrap/>
            <w:hideMark/>
          </w:tcPr>
          <w:p w14:paraId="59001FE8" w14:textId="77777777" w:rsidR="00BA70C1" w:rsidRPr="000C6D52" w:rsidRDefault="00BA70C1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GOBP_REGULATION_OF_RESPONSE_TO_INTERFERON_GAMMA</w:t>
            </w:r>
          </w:p>
        </w:tc>
        <w:tc>
          <w:tcPr>
            <w:tcW w:w="3132" w:type="pct"/>
            <w:tcBorders>
              <w:bottom w:val="single" w:sz="4" w:space="0" w:color="auto"/>
            </w:tcBorders>
            <w:noWrap/>
            <w:hideMark/>
          </w:tcPr>
          <w:p w14:paraId="74D4FB91" w14:textId="77777777" w:rsidR="00BA70C1" w:rsidRPr="000C6D52" w:rsidRDefault="00CF039C">
            <w:pPr>
              <w:rPr>
                <w:rFonts w:ascii="Times New Roman" w:hAnsi="Times New Roman" w:cs="Times New Roman"/>
                <w:szCs w:val="21"/>
              </w:rPr>
            </w:pPr>
            <w:hyperlink r:id="rId11" w:history="1">
              <w:r w:rsidR="00BA70C1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http://www.gsea-msigdb.org/gsea/msigdb/cards/GOBP_REGULATION_OF_RESPONSE_TO_INTERFERON_GAMMA.html</w:t>
              </w:r>
            </w:hyperlink>
          </w:p>
        </w:tc>
      </w:tr>
      <w:tr w:rsidR="00D250B6" w:rsidRPr="000C6D52" w14:paraId="734CA0C9" w14:textId="77777777" w:rsidTr="00D250B6">
        <w:trPr>
          <w:trHeight w:val="276"/>
        </w:trPr>
        <w:tc>
          <w:tcPr>
            <w:tcW w:w="1868" w:type="pct"/>
            <w:tcBorders>
              <w:top w:val="nil"/>
              <w:bottom w:val="single" w:sz="4" w:space="0" w:color="auto"/>
            </w:tcBorders>
            <w:noWrap/>
          </w:tcPr>
          <w:p w14:paraId="0BB686E8" w14:textId="618D8E9A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GOBP_RESPONSE_TO_INTERFERON_ALPHA</w:t>
            </w:r>
          </w:p>
        </w:tc>
        <w:tc>
          <w:tcPr>
            <w:tcW w:w="3132" w:type="pct"/>
            <w:tcBorders>
              <w:top w:val="nil"/>
              <w:bottom w:val="single" w:sz="4" w:space="0" w:color="auto"/>
            </w:tcBorders>
            <w:noWrap/>
          </w:tcPr>
          <w:p w14:paraId="74621F03" w14:textId="0EA4A43B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2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http://www.gsea-msigdb.org/gsea/msigdb/cards/GOBP_RESPONSE_TO_INTERFERON_ALPHA.html</w:t>
              </w:r>
            </w:hyperlink>
          </w:p>
        </w:tc>
      </w:tr>
      <w:tr w:rsidR="00D250B6" w:rsidRPr="000C6D52" w14:paraId="7E15ECAD" w14:textId="77777777" w:rsidTr="00D250B6">
        <w:trPr>
          <w:trHeight w:val="276"/>
        </w:trPr>
        <w:tc>
          <w:tcPr>
            <w:tcW w:w="1868" w:type="pct"/>
            <w:tcBorders>
              <w:top w:val="single" w:sz="4" w:space="0" w:color="auto"/>
              <w:bottom w:val="nil"/>
            </w:tcBorders>
            <w:noWrap/>
          </w:tcPr>
          <w:p w14:paraId="16A3E518" w14:textId="3321ADF5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32" w:type="pct"/>
            <w:tcBorders>
              <w:top w:val="single" w:sz="4" w:space="0" w:color="auto"/>
              <w:bottom w:val="nil"/>
            </w:tcBorders>
            <w:noWrap/>
          </w:tcPr>
          <w:p w14:paraId="2898843D" w14:textId="6AE9639A" w:rsidR="00D250B6" w:rsidRPr="000F0483" w:rsidRDefault="00D250B6" w:rsidP="00D250B6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04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Continued on next page</w:t>
            </w:r>
          </w:p>
        </w:tc>
      </w:tr>
      <w:tr w:rsidR="00D250B6" w:rsidRPr="000C6D52" w14:paraId="5EA9549A" w14:textId="77777777" w:rsidTr="00D250B6">
        <w:trPr>
          <w:trHeight w:val="276"/>
        </w:trPr>
        <w:tc>
          <w:tcPr>
            <w:tcW w:w="186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23B4F5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lastRenderedPageBreak/>
              <w:t>GOBP_RESPONSE_TO_INTERFERON_BETA</w:t>
            </w:r>
          </w:p>
        </w:tc>
        <w:tc>
          <w:tcPr>
            <w:tcW w:w="313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E1E208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3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http://www.gsea-msigdb.org/gsea/msigdb/cards/GOBP_RESPONSE_TO_INTERFERON_BETA.html</w:t>
              </w:r>
            </w:hyperlink>
          </w:p>
        </w:tc>
      </w:tr>
      <w:tr w:rsidR="00D250B6" w:rsidRPr="000C6D52" w14:paraId="09E35B51" w14:textId="77777777" w:rsidTr="00D250B6">
        <w:trPr>
          <w:trHeight w:val="276"/>
        </w:trPr>
        <w:tc>
          <w:tcPr>
            <w:tcW w:w="1868" w:type="pct"/>
            <w:tcBorders>
              <w:top w:val="single" w:sz="4" w:space="0" w:color="auto"/>
            </w:tcBorders>
            <w:noWrap/>
            <w:hideMark/>
          </w:tcPr>
          <w:p w14:paraId="211F6FFD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GOBP_RESPONSE_TO_INTERFERON_GAMMA</w:t>
            </w:r>
          </w:p>
        </w:tc>
        <w:tc>
          <w:tcPr>
            <w:tcW w:w="3132" w:type="pct"/>
            <w:tcBorders>
              <w:top w:val="single" w:sz="4" w:space="0" w:color="auto"/>
            </w:tcBorders>
            <w:noWrap/>
            <w:hideMark/>
          </w:tcPr>
          <w:p w14:paraId="4E1800CB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4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http://www.gsea-msigdb.org/gsea/msigdb/cards/GOBP_RESPONSE_TO_INTERFERON_GAMMA.html</w:t>
              </w:r>
            </w:hyperlink>
          </w:p>
        </w:tc>
      </w:tr>
      <w:tr w:rsidR="00D250B6" w:rsidRPr="000C6D52" w14:paraId="350FA268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7232F7A8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HALLMARK_INTERFERON_ALPHA_RESPONSE</w:t>
            </w:r>
          </w:p>
        </w:tc>
        <w:tc>
          <w:tcPr>
            <w:tcW w:w="3132" w:type="pct"/>
            <w:noWrap/>
            <w:hideMark/>
          </w:tcPr>
          <w:p w14:paraId="2853E1F1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5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http://www.gsea-msigdb.org/gsea/msigdb/cards/HALLMARK_INTERFERON_ALPHA_RESPONSE.html</w:t>
              </w:r>
            </w:hyperlink>
          </w:p>
        </w:tc>
      </w:tr>
      <w:tr w:rsidR="00D250B6" w:rsidRPr="000C6D52" w14:paraId="6B4AB0E3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33D6510A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HALLMARK_INTERFERON_GAMMA_RESPONSE</w:t>
            </w:r>
          </w:p>
        </w:tc>
        <w:tc>
          <w:tcPr>
            <w:tcW w:w="3132" w:type="pct"/>
            <w:noWrap/>
            <w:hideMark/>
          </w:tcPr>
          <w:p w14:paraId="3FEFBDA1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6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http://www.gsea-msigdb.org/gsea/msigdb/cards/HALLMARK_INTERFERON_GAMMA_RESPONSE.html</w:t>
              </w:r>
            </w:hyperlink>
          </w:p>
        </w:tc>
      </w:tr>
      <w:tr w:rsidR="00D250B6" w:rsidRPr="000C6D52" w14:paraId="216FA0D0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2B70E7C8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NATSUME_RESPONSE_TO_INTERFERON_BETA_DN</w:t>
            </w:r>
          </w:p>
        </w:tc>
        <w:tc>
          <w:tcPr>
            <w:tcW w:w="3132" w:type="pct"/>
            <w:noWrap/>
            <w:hideMark/>
          </w:tcPr>
          <w:p w14:paraId="2578AC1D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7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http://www.gsea-msigdb.org/gsea/msigdb/cards/NATSUME_RESPONSE_TO_INTERFERON_BETA_DN.html</w:t>
              </w:r>
            </w:hyperlink>
          </w:p>
        </w:tc>
      </w:tr>
      <w:tr w:rsidR="00D250B6" w:rsidRPr="000C6D52" w14:paraId="21C1EEC7" w14:textId="77777777" w:rsidTr="000C6D52">
        <w:trPr>
          <w:trHeight w:val="276"/>
        </w:trPr>
        <w:tc>
          <w:tcPr>
            <w:tcW w:w="1868" w:type="pct"/>
            <w:noWrap/>
            <w:hideMark/>
          </w:tcPr>
          <w:p w14:paraId="527921F4" w14:textId="77777777" w:rsidR="00D250B6" w:rsidRPr="000C6D52" w:rsidRDefault="00D250B6" w:rsidP="00D250B6">
            <w:pPr>
              <w:rPr>
                <w:rFonts w:ascii="Times New Roman" w:hAnsi="Times New Roman" w:cs="Times New Roman"/>
                <w:szCs w:val="21"/>
              </w:rPr>
            </w:pPr>
            <w:r w:rsidRPr="000C6D52">
              <w:rPr>
                <w:rFonts w:ascii="Times New Roman" w:hAnsi="Times New Roman" w:cs="Times New Roman"/>
                <w:szCs w:val="21"/>
              </w:rPr>
              <w:t>NATSUME_RESPONSE_TO_INTERFERON_BETA_UP</w:t>
            </w:r>
          </w:p>
        </w:tc>
        <w:tc>
          <w:tcPr>
            <w:tcW w:w="3132" w:type="pct"/>
            <w:noWrap/>
            <w:hideMark/>
          </w:tcPr>
          <w:p w14:paraId="0C18780B" w14:textId="77777777" w:rsidR="00D250B6" w:rsidRPr="000C6D52" w:rsidRDefault="00CF039C" w:rsidP="00D250B6">
            <w:pPr>
              <w:rPr>
                <w:rFonts w:ascii="Times New Roman" w:hAnsi="Times New Roman" w:cs="Times New Roman"/>
                <w:szCs w:val="21"/>
              </w:rPr>
            </w:pPr>
            <w:hyperlink r:id="rId18" w:history="1">
              <w:r w:rsidR="00D250B6" w:rsidRPr="000C6D52">
                <w:rPr>
                  <w:rStyle w:val="aa"/>
                  <w:rFonts w:ascii="Times New Roman" w:hAnsi="Times New Roman" w:cs="Times New Roman"/>
                  <w:color w:val="auto"/>
                  <w:szCs w:val="21"/>
                  <w:u w:val="none"/>
                </w:rPr>
                <w:t>http://www.gsea-msigdb.org/gsea/msigdb/cards/NATSUME_RESPONSE_TO_INTERFERON_BETA_UP.html</w:t>
              </w:r>
            </w:hyperlink>
          </w:p>
        </w:tc>
      </w:tr>
    </w:tbl>
    <w:p w14:paraId="353AE784" w14:textId="2182A722" w:rsidR="00585AD9" w:rsidRPr="00E7730E" w:rsidRDefault="00BA70C1" w:rsidP="0067626D">
      <w:pPr>
        <w:spacing w:beforeLines="100" w:before="312" w:afterLines="50" w:after="156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1BF4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E7730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341B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54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interferons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with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BF4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341BF4">
        <w:rPr>
          <w:rFonts w:ascii="Times New Roman" w:hAnsi="Times New Roman" w:cs="Times New Roman"/>
          <w:sz w:val="24"/>
          <w:szCs w:val="24"/>
        </w:rPr>
        <w:t>-cox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survival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value.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1755"/>
        <w:gridCol w:w="1755"/>
        <w:gridCol w:w="1755"/>
        <w:gridCol w:w="2498"/>
      </w:tblGrid>
      <w:tr w:rsidR="00D250B6" w:rsidRPr="000C6D52" w14:paraId="53695586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CF02F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B152D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C4A44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HR.95L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E00AC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HR.95H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09F785" w14:textId="291BBE2E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01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D250B6" w:rsidRPr="000C6D52" w14:paraId="35FE7F5F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single" w:sz="4" w:space="0" w:color="auto"/>
            </w:tcBorders>
            <w:noWrap/>
            <w:hideMark/>
          </w:tcPr>
          <w:p w14:paraId="0B02D5F8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ACTR3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06D73ED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1.13461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0A93B83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1.00553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600E1F1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1.28025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noWrap/>
            <w:hideMark/>
          </w:tcPr>
          <w:p w14:paraId="18CAC54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0.04041</w:t>
            </w:r>
          </w:p>
        </w:tc>
      </w:tr>
      <w:tr w:rsidR="00D250B6" w:rsidRPr="000C6D52" w14:paraId="0E60A8D7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7F6925CA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ANXA2</w:t>
            </w:r>
          </w:p>
        </w:tc>
        <w:tc>
          <w:tcPr>
            <w:tcW w:w="881" w:type="pct"/>
            <w:noWrap/>
            <w:hideMark/>
          </w:tcPr>
          <w:p w14:paraId="7FDBC51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1.1065</w:t>
            </w:r>
          </w:p>
        </w:tc>
        <w:tc>
          <w:tcPr>
            <w:tcW w:w="881" w:type="pct"/>
            <w:noWrap/>
            <w:hideMark/>
          </w:tcPr>
          <w:p w14:paraId="2D26112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1.0309</w:t>
            </w:r>
          </w:p>
        </w:tc>
        <w:tc>
          <w:tcPr>
            <w:tcW w:w="881" w:type="pct"/>
            <w:noWrap/>
            <w:hideMark/>
          </w:tcPr>
          <w:p w14:paraId="286CC56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1.18763</w:t>
            </w:r>
          </w:p>
        </w:tc>
        <w:tc>
          <w:tcPr>
            <w:tcW w:w="1255" w:type="pct"/>
            <w:noWrap/>
            <w:hideMark/>
          </w:tcPr>
          <w:p w14:paraId="6FDD0DA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0.00506</w:t>
            </w:r>
          </w:p>
        </w:tc>
      </w:tr>
      <w:tr w:rsidR="00D250B6" w:rsidRPr="000C6D52" w14:paraId="38A9F8BB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D3A015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APOL6</w:t>
            </w:r>
          </w:p>
        </w:tc>
        <w:tc>
          <w:tcPr>
            <w:tcW w:w="881" w:type="pct"/>
            <w:noWrap/>
            <w:hideMark/>
          </w:tcPr>
          <w:p w14:paraId="2553550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1.21416</w:t>
            </w:r>
          </w:p>
        </w:tc>
        <w:tc>
          <w:tcPr>
            <w:tcW w:w="881" w:type="pct"/>
            <w:noWrap/>
            <w:hideMark/>
          </w:tcPr>
          <w:p w14:paraId="08F0E9B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1.02795</w:t>
            </w:r>
          </w:p>
        </w:tc>
        <w:tc>
          <w:tcPr>
            <w:tcW w:w="881" w:type="pct"/>
            <w:noWrap/>
            <w:hideMark/>
          </w:tcPr>
          <w:p w14:paraId="1D440AD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1.43409</w:t>
            </w:r>
          </w:p>
        </w:tc>
        <w:tc>
          <w:tcPr>
            <w:tcW w:w="1255" w:type="pct"/>
            <w:noWrap/>
            <w:hideMark/>
          </w:tcPr>
          <w:p w14:paraId="565FEA3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0.02234</w:t>
            </w:r>
          </w:p>
        </w:tc>
      </w:tr>
      <w:tr w:rsidR="00D250B6" w:rsidRPr="000C6D52" w14:paraId="319044BA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6BB7FE3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BANK1</w:t>
            </w:r>
          </w:p>
        </w:tc>
        <w:tc>
          <w:tcPr>
            <w:tcW w:w="881" w:type="pct"/>
            <w:noWrap/>
            <w:hideMark/>
          </w:tcPr>
          <w:p w14:paraId="0CA06D7C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1.40799</w:t>
            </w:r>
          </w:p>
        </w:tc>
        <w:tc>
          <w:tcPr>
            <w:tcW w:w="881" w:type="pct"/>
            <w:noWrap/>
            <w:hideMark/>
          </w:tcPr>
          <w:p w14:paraId="0194D7F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1.01334</w:t>
            </w:r>
          </w:p>
        </w:tc>
        <w:tc>
          <w:tcPr>
            <w:tcW w:w="881" w:type="pct"/>
            <w:noWrap/>
            <w:hideMark/>
          </w:tcPr>
          <w:p w14:paraId="462CB3E8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1.95634</w:t>
            </w:r>
          </w:p>
        </w:tc>
        <w:tc>
          <w:tcPr>
            <w:tcW w:w="1255" w:type="pct"/>
            <w:noWrap/>
            <w:hideMark/>
          </w:tcPr>
          <w:p w14:paraId="3BFE9B1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0.04145</w:t>
            </w:r>
          </w:p>
        </w:tc>
      </w:tr>
      <w:tr w:rsidR="00D250B6" w:rsidRPr="000C6D52" w14:paraId="267A9DE3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6A9741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BCL3</w:t>
            </w:r>
          </w:p>
        </w:tc>
        <w:tc>
          <w:tcPr>
            <w:tcW w:w="881" w:type="pct"/>
            <w:noWrap/>
            <w:hideMark/>
          </w:tcPr>
          <w:p w14:paraId="2DD6FB4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1.12197</w:t>
            </w:r>
          </w:p>
        </w:tc>
        <w:tc>
          <w:tcPr>
            <w:tcW w:w="881" w:type="pct"/>
            <w:noWrap/>
            <w:hideMark/>
          </w:tcPr>
          <w:p w14:paraId="2B73C99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1.01465</w:t>
            </w:r>
          </w:p>
        </w:tc>
        <w:tc>
          <w:tcPr>
            <w:tcW w:w="881" w:type="pct"/>
            <w:noWrap/>
            <w:hideMark/>
          </w:tcPr>
          <w:p w14:paraId="140948B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1.24065</w:t>
            </w:r>
          </w:p>
        </w:tc>
        <w:tc>
          <w:tcPr>
            <w:tcW w:w="1255" w:type="pct"/>
            <w:noWrap/>
            <w:hideMark/>
          </w:tcPr>
          <w:p w14:paraId="4336C04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0.02487</w:t>
            </w:r>
          </w:p>
        </w:tc>
      </w:tr>
      <w:tr w:rsidR="00D250B6" w:rsidRPr="000C6D52" w14:paraId="244963C4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4907D53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C1R</w:t>
            </w:r>
          </w:p>
        </w:tc>
        <w:tc>
          <w:tcPr>
            <w:tcW w:w="881" w:type="pct"/>
            <w:noWrap/>
            <w:hideMark/>
          </w:tcPr>
          <w:p w14:paraId="4C8CAC2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1.10001</w:t>
            </w:r>
          </w:p>
        </w:tc>
        <w:tc>
          <w:tcPr>
            <w:tcW w:w="881" w:type="pct"/>
            <w:noWrap/>
            <w:hideMark/>
          </w:tcPr>
          <w:p w14:paraId="4BB60F7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1.02041</w:t>
            </w:r>
          </w:p>
        </w:tc>
        <w:tc>
          <w:tcPr>
            <w:tcW w:w="881" w:type="pct"/>
            <w:noWrap/>
            <w:hideMark/>
          </w:tcPr>
          <w:p w14:paraId="227C2F4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1.18582</w:t>
            </w:r>
          </w:p>
        </w:tc>
        <w:tc>
          <w:tcPr>
            <w:tcW w:w="1255" w:type="pct"/>
            <w:noWrap/>
            <w:hideMark/>
          </w:tcPr>
          <w:p w14:paraId="112DC77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0.01287</w:t>
            </w:r>
          </w:p>
        </w:tc>
      </w:tr>
      <w:tr w:rsidR="00D250B6" w:rsidRPr="000C6D52" w14:paraId="20FE3E0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E8519A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C1S</w:t>
            </w:r>
          </w:p>
        </w:tc>
        <w:tc>
          <w:tcPr>
            <w:tcW w:w="881" w:type="pct"/>
            <w:noWrap/>
            <w:hideMark/>
          </w:tcPr>
          <w:p w14:paraId="43356E5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1.10646</w:t>
            </w:r>
          </w:p>
        </w:tc>
        <w:tc>
          <w:tcPr>
            <w:tcW w:w="881" w:type="pct"/>
            <w:noWrap/>
            <w:hideMark/>
          </w:tcPr>
          <w:p w14:paraId="73D6B73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1.01575</w:t>
            </w:r>
          </w:p>
        </w:tc>
        <w:tc>
          <w:tcPr>
            <w:tcW w:w="881" w:type="pct"/>
            <w:noWrap/>
            <w:hideMark/>
          </w:tcPr>
          <w:p w14:paraId="0F3F173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1.20528</w:t>
            </w:r>
          </w:p>
        </w:tc>
        <w:tc>
          <w:tcPr>
            <w:tcW w:w="1255" w:type="pct"/>
            <w:noWrap/>
            <w:hideMark/>
          </w:tcPr>
          <w:p w14:paraId="0269696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0.02045</w:t>
            </w:r>
          </w:p>
        </w:tc>
      </w:tr>
      <w:tr w:rsidR="00D250B6" w:rsidRPr="000C6D52" w14:paraId="591A1F48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49EA50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CCL19</w:t>
            </w:r>
          </w:p>
        </w:tc>
        <w:tc>
          <w:tcPr>
            <w:tcW w:w="881" w:type="pct"/>
            <w:noWrap/>
            <w:hideMark/>
          </w:tcPr>
          <w:p w14:paraId="652DF28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0.85667</w:t>
            </w:r>
          </w:p>
        </w:tc>
        <w:tc>
          <w:tcPr>
            <w:tcW w:w="881" w:type="pct"/>
            <w:noWrap/>
            <w:hideMark/>
          </w:tcPr>
          <w:p w14:paraId="2EBD2D7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0.74548</w:t>
            </w:r>
          </w:p>
        </w:tc>
        <w:tc>
          <w:tcPr>
            <w:tcW w:w="881" w:type="pct"/>
            <w:noWrap/>
            <w:hideMark/>
          </w:tcPr>
          <w:p w14:paraId="2A85BF3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0.98445</w:t>
            </w:r>
          </w:p>
        </w:tc>
        <w:tc>
          <w:tcPr>
            <w:tcW w:w="1255" w:type="pct"/>
            <w:noWrap/>
            <w:hideMark/>
          </w:tcPr>
          <w:p w14:paraId="680669EA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0.02919</w:t>
            </w:r>
          </w:p>
        </w:tc>
      </w:tr>
      <w:tr w:rsidR="00D250B6" w:rsidRPr="000C6D52" w14:paraId="3EAE8441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A2EEED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CCL2</w:t>
            </w:r>
          </w:p>
        </w:tc>
        <w:tc>
          <w:tcPr>
            <w:tcW w:w="881" w:type="pct"/>
            <w:noWrap/>
            <w:hideMark/>
          </w:tcPr>
          <w:p w14:paraId="558E68BA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1.0797</w:t>
            </w:r>
          </w:p>
        </w:tc>
        <w:tc>
          <w:tcPr>
            <w:tcW w:w="881" w:type="pct"/>
            <w:noWrap/>
            <w:hideMark/>
          </w:tcPr>
          <w:p w14:paraId="53549C9C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1.01292</w:t>
            </w:r>
          </w:p>
        </w:tc>
        <w:tc>
          <w:tcPr>
            <w:tcW w:w="881" w:type="pct"/>
            <w:noWrap/>
            <w:hideMark/>
          </w:tcPr>
          <w:p w14:paraId="7008DBD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1.15088</w:t>
            </w:r>
          </w:p>
        </w:tc>
        <w:tc>
          <w:tcPr>
            <w:tcW w:w="1255" w:type="pct"/>
            <w:noWrap/>
            <w:hideMark/>
          </w:tcPr>
          <w:p w14:paraId="1EE7D3A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0.01858</w:t>
            </w:r>
          </w:p>
        </w:tc>
      </w:tr>
      <w:tr w:rsidR="00D250B6" w:rsidRPr="000C6D52" w14:paraId="6325CD84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4814975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CD44</w:t>
            </w:r>
          </w:p>
        </w:tc>
        <w:tc>
          <w:tcPr>
            <w:tcW w:w="881" w:type="pct"/>
            <w:noWrap/>
            <w:hideMark/>
          </w:tcPr>
          <w:p w14:paraId="58FFBE4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1.12817</w:t>
            </w:r>
          </w:p>
        </w:tc>
        <w:tc>
          <w:tcPr>
            <w:tcW w:w="881" w:type="pct"/>
            <w:noWrap/>
            <w:hideMark/>
          </w:tcPr>
          <w:p w14:paraId="6632739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1.04214</w:t>
            </w:r>
          </w:p>
        </w:tc>
        <w:tc>
          <w:tcPr>
            <w:tcW w:w="881" w:type="pct"/>
            <w:noWrap/>
            <w:hideMark/>
          </w:tcPr>
          <w:p w14:paraId="3888651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1.22129</w:t>
            </w:r>
          </w:p>
        </w:tc>
        <w:tc>
          <w:tcPr>
            <w:tcW w:w="1255" w:type="pct"/>
            <w:noWrap/>
            <w:hideMark/>
          </w:tcPr>
          <w:p w14:paraId="639B981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0.00288</w:t>
            </w:r>
          </w:p>
        </w:tc>
      </w:tr>
      <w:tr w:rsidR="00D250B6" w:rsidRPr="000C6D52" w14:paraId="045A9891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3C4A3F2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CDK13</w:t>
            </w:r>
          </w:p>
        </w:tc>
        <w:tc>
          <w:tcPr>
            <w:tcW w:w="881" w:type="pct"/>
            <w:noWrap/>
            <w:hideMark/>
          </w:tcPr>
          <w:p w14:paraId="0764D0B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1.23636</w:t>
            </w:r>
          </w:p>
        </w:tc>
        <w:tc>
          <w:tcPr>
            <w:tcW w:w="881" w:type="pct"/>
            <w:noWrap/>
            <w:hideMark/>
          </w:tcPr>
          <w:p w14:paraId="41A7123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1.01236</w:t>
            </w:r>
          </w:p>
        </w:tc>
        <w:tc>
          <w:tcPr>
            <w:tcW w:w="881" w:type="pct"/>
            <w:noWrap/>
            <w:hideMark/>
          </w:tcPr>
          <w:p w14:paraId="41734BE8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1.50992</w:t>
            </w:r>
          </w:p>
        </w:tc>
        <w:tc>
          <w:tcPr>
            <w:tcW w:w="1255" w:type="pct"/>
            <w:noWrap/>
            <w:hideMark/>
          </w:tcPr>
          <w:p w14:paraId="7F33E16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0.03748</w:t>
            </w:r>
          </w:p>
        </w:tc>
      </w:tr>
      <w:tr w:rsidR="00D250B6" w:rsidRPr="000C6D52" w14:paraId="4FD1A57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29BA10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CIITA</w:t>
            </w:r>
          </w:p>
        </w:tc>
        <w:tc>
          <w:tcPr>
            <w:tcW w:w="881" w:type="pct"/>
            <w:noWrap/>
            <w:hideMark/>
          </w:tcPr>
          <w:p w14:paraId="477E80A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1.15601</w:t>
            </w:r>
          </w:p>
        </w:tc>
        <w:tc>
          <w:tcPr>
            <w:tcW w:w="881" w:type="pct"/>
            <w:noWrap/>
            <w:hideMark/>
          </w:tcPr>
          <w:p w14:paraId="5B19ABE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1.0069</w:t>
            </w:r>
          </w:p>
        </w:tc>
        <w:tc>
          <w:tcPr>
            <w:tcW w:w="881" w:type="pct"/>
            <w:noWrap/>
            <w:hideMark/>
          </w:tcPr>
          <w:p w14:paraId="02E5A49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1.3272</w:t>
            </w:r>
          </w:p>
        </w:tc>
        <w:tc>
          <w:tcPr>
            <w:tcW w:w="1255" w:type="pct"/>
            <w:noWrap/>
            <w:hideMark/>
          </w:tcPr>
          <w:p w14:paraId="3EE7707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0.03963</w:t>
            </w:r>
          </w:p>
        </w:tc>
      </w:tr>
      <w:tr w:rsidR="00D250B6" w:rsidRPr="000C6D52" w14:paraId="0BD1EEB2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38C5FE8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EPHB3</w:t>
            </w:r>
          </w:p>
        </w:tc>
        <w:tc>
          <w:tcPr>
            <w:tcW w:w="881" w:type="pct"/>
            <w:noWrap/>
            <w:hideMark/>
          </w:tcPr>
          <w:p w14:paraId="1EC3612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1.13317</w:t>
            </w:r>
          </w:p>
        </w:tc>
        <w:tc>
          <w:tcPr>
            <w:tcW w:w="881" w:type="pct"/>
            <w:noWrap/>
            <w:hideMark/>
          </w:tcPr>
          <w:p w14:paraId="48721D2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1.01455</w:t>
            </w:r>
          </w:p>
        </w:tc>
        <w:tc>
          <w:tcPr>
            <w:tcW w:w="881" w:type="pct"/>
            <w:noWrap/>
            <w:hideMark/>
          </w:tcPr>
          <w:p w14:paraId="5CD47BA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1.26566</w:t>
            </w:r>
          </w:p>
        </w:tc>
        <w:tc>
          <w:tcPr>
            <w:tcW w:w="1255" w:type="pct"/>
            <w:noWrap/>
            <w:hideMark/>
          </w:tcPr>
          <w:p w14:paraId="5E9817B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0.02669</w:t>
            </w:r>
          </w:p>
        </w:tc>
      </w:tr>
      <w:tr w:rsidR="00D250B6" w:rsidRPr="000C6D52" w14:paraId="6CD3F906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FBECCC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TENT5A</w:t>
            </w:r>
          </w:p>
        </w:tc>
        <w:tc>
          <w:tcPr>
            <w:tcW w:w="881" w:type="pct"/>
            <w:noWrap/>
            <w:hideMark/>
          </w:tcPr>
          <w:p w14:paraId="25C2A4E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1.1665</w:t>
            </w:r>
          </w:p>
        </w:tc>
        <w:tc>
          <w:tcPr>
            <w:tcW w:w="881" w:type="pct"/>
            <w:noWrap/>
            <w:hideMark/>
          </w:tcPr>
          <w:p w14:paraId="373D8EC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1.0259</w:t>
            </w:r>
          </w:p>
        </w:tc>
        <w:tc>
          <w:tcPr>
            <w:tcW w:w="881" w:type="pct"/>
            <w:noWrap/>
            <w:hideMark/>
          </w:tcPr>
          <w:p w14:paraId="4F9C60F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1.32636</w:t>
            </w:r>
          </w:p>
        </w:tc>
        <w:tc>
          <w:tcPr>
            <w:tcW w:w="1255" w:type="pct"/>
            <w:noWrap/>
            <w:hideMark/>
          </w:tcPr>
          <w:p w14:paraId="3D4074F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0.01876</w:t>
            </w:r>
          </w:p>
        </w:tc>
      </w:tr>
      <w:tr w:rsidR="00D250B6" w:rsidRPr="000C6D52" w14:paraId="676A3DE5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B055E7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</w:tc>
        <w:tc>
          <w:tcPr>
            <w:tcW w:w="881" w:type="pct"/>
            <w:noWrap/>
            <w:hideMark/>
          </w:tcPr>
          <w:p w14:paraId="38056AF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1.16517</w:t>
            </w:r>
          </w:p>
        </w:tc>
        <w:tc>
          <w:tcPr>
            <w:tcW w:w="881" w:type="pct"/>
            <w:noWrap/>
            <w:hideMark/>
          </w:tcPr>
          <w:p w14:paraId="42E59C5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1.02573</w:t>
            </w:r>
          </w:p>
        </w:tc>
        <w:tc>
          <w:tcPr>
            <w:tcW w:w="881" w:type="pct"/>
            <w:noWrap/>
            <w:hideMark/>
          </w:tcPr>
          <w:p w14:paraId="7DAB6CD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1.32355</w:t>
            </w:r>
          </w:p>
        </w:tc>
        <w:tc>
          <w:tcPr>
            <w:tcW w:w="1255" w:type="pct"/>
            <w:noWrap/>
            <w:hideMark/>
          </w:tcPr>
          <w:p w14:paraId="347AD5D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0.01874</w:t>
            </w:r>
          </w:p>
        </w:tc>
      </w:tr>
      <w:tr w:rsidR="00D250B6" w:rsidRPr="000C6D52" w14:paraId="703FC4B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71D55B2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GBP1</w:t>
            </w:r>
          </w:p>
        </w:tc>
        <w:tc>
          <w:tcPr>
            <w:tcW w:w="881" w:type="pct"/>
            <w:noWrap/>
            <w:hideMark/>
          </w:tcPr>
          <w:p w14:paraId="21169C4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1.12815</w:t>
            </w:r>
          </w:p>
        </w:tc>
        <w:tc>
          <w:tcPr>
            <w:tcW w:w="881" w:type="pct"/>
            <w:noWrap/>
            <w:hideMark/>
          </w:tcPr>
          <w:p w14:paraId="7B76BAD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1.03452</w:t>
            </w:r>
          </w:p>
        </w:tc>
        <w:tc>
          <w:tcPr>
            <w:tcW w:w="881" w:type="pct"/>
            <w:noWrap/>
            <w:hideMark/>
          </w:tcPr>
          <w:p w14:paraId="14EAC2E5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1.23026</w:t>
            </w:r>
          </w:p>
        </w:tc>
        <w:tc>
          <w:tcPr>
            <w:tcW w:w="1255" w:type="pct"/>
            <w:noWrap/>
            <w:hideMark/>
          </w:tcPr>
          <w:p w14:paraId="0D43772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0.00638</w:t>
            </w:r>
          </w:p>
        </w:tc>
      </w:tr>
      <w:tr w:rsidR="00D250B6" w:rsidRPr="000C6D52" w14:paraId="3191A17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96AE31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GRB14</w:t>
            </w:r>
          </w:p>
        </w:tc>
        <w:tc>
          <w:tcPr>
            <w:tcW w:w="881" w:type="pct"/>
            <w:noWrap/>
            <w:hideMark/>
          </w:tcPr>
          <w:p w14:paraId="7495F8BC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1.16258</w:t>
            </w:r>
          </w:p>
        </w:tc>
        <w:tc>
          <w:tcPr>
            <w:tcW w:w="881" w:type="pct"/>
            <w:noWrap/>
            <w:hideMark/>
          </w:tcPr>
          <w:p w14:paraId="3874444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1.04392</w:t>
            </w:r>
          </w:p>
        </w:tc>
        <w:tc>
          <w:tcPr>
            <w:tcW w:w="881" w:type="pct"/>
            <w:noWrap/>
            <w:hideMark/>
          </w:tcPr>
          <w:p w14:paraId="5F6C148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1.29474</w:t>
            </w:r>
          </w:p>
        </w:tc>
        <w:tc>
          <w:tcPr>
            <w:tcW w:w="1255" w:type="pct"/>
            <w:noWrap/>
            <w:hideMark/>
          </w:tcPr>
          <w:p w14:paraId="505D97B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0.0061</w:t>
            </w:r>
          </w:p>
        </w:tc>
      </w:tr>
      <w:tr w:rsidR="00D250B6" w:rsidRPr="000C6D52" w14:paraId="2D7C61C0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3AED351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HELZ2</w:t>
            </w:r>
          </w:p>
        </w:tc>
        <w:tc>
          <w:tcPr>
            <w:tcW w:w="881" w:type="pct"/>
            <w:noWrap/>
            <w:hideMark/>
          </w:tcPr>
          <w:p w14:paraId="391A96C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1.16132</w:t>
            </w:r>
          </w:p>
        </w:tc>
        <w:tc>
          <w:tcPr>
            <w:tcW w:w="881" w:type="pct"/>
            <w:noWrap/>
            <w:hideMark/>
          </w:tcPr>
          <w:p w14:paraId="4C177848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1.01863</w:t>
            </w:r>
          </w:p>
        </w:tc>
        <w:tc>
          <w:tcPr>
            <w:tcW w:w="881" w:type="pct"/>
            <w:noWrap/>
            <w:hideMark/>
          </w:tcPr>
          <w:p w14:paraId="3B6E452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1.32401</w:t>
            </w:r>
          </w:p>
        </w:tc>
        <w:tc>
          <w:tcPr>
            <w:tcW w:w="1255" w:type="pct"/>
            <w:noWrap/>
            <w:hideMark/>
          </w:tcPr>
          <w:p w14:paraId="105F278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0.02535</w:t>
            </w:r>
          </w:p>
        </w:tc>
      </w:tr>
      <w:tr w:rsidR="00D250B6" w:rsidRPr="000C6D52" w14:paraId="29EA2B22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7BED852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HPX</w:t>
            </w:r>
          </w:p>
        </w:tc>
        <w:tc>
          <w:tcPr>
            <w:tcW w:w="881" w:type="pct"/>
            <w:noWrap/>
            <w:hideMark/>
          </w:tcPr>
          <w:p w14:paraId="0F7D85E7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1.18004</w:t>
            </w:r>
          </w:p>
        </w:tc>
        <w:tc>
          <w:tcPr>
            <w:tcW w:w="881" w:type="pct"/>
            <w:noWrap/>
            <w:hideMark/>
          </w:tcPr>
          <w:p w14:paraId="5D86A6AA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1.00063</w:t>
            </w:r>
          </w:p>
        </w:tc>
        <w:tc>
          <w:tcPr>
            <w:tcW w:w="881" w:type="pct"/>
            <w:noWrap/>
            <w:hideMark/>
          </w:tcPr>
          <w:p w14:paraId="11B4A6F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1.39163</w:t>
            </w:r>
          </w:p>
        </w:tc>
        <w:tc>
          <w:tcPr>
            <w:tcW w:w="1255" w:type="pct"/>
            <w:noWrap/>
            <w:hideMark/>
          </w:tcPr>
          <w:p w14:paraId="5A7732F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0.04914</w:t>
            </w:r>
          </w:p>
        </w:tc>
      </w:tr>
      <w:tr w:rsidR="00D250B6" w:rsidRPr="000C6D52" w14:paraId="64DED2B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7857A31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ICAM1</w:t>
            </w:r>
          </w:p>
        </w:tc>
        <w:tc>
          <w:tcPr>
            <w:tcW w:w="881" w:type="pct"/>
            <w:noWrap/>
            <w:hideMark/>
          </w:tcPr>
          <w:p w14:paraId="76AD5E2C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1.13991</w:t>
            </w:r>
          </w:p>
        </w:tc>
        <w:tc>
          <w:tcPr>
            <w:tcW w:w="881" w:type="pct"/>
            <w:noWrap/>
            <w:hideMark/>
          </w:tcPr>
          <w:p w14:paraId="7402BCE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1.03684</w:t>
            </w:r>
          </w:p>
        </w:tc>
        <w:tc>
          <w:tcPr>
            <w:tcW w:w="881" w:type="pct"/>
            <w:noWrap/>
            <w:hideMark/>
          </w:tcPr>
          <w:p w14:paraId="28162B7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1.25323</w:t>
            </w:r>
          </w:p>
        </w:tc>
        <w:tc>
          <w:tcPr>
            <w:tcW w:w="1255" w:type="pct"/>
            <w:noWrap/>
            <w:hideMark/>
          </w:tcPr>
          <w:p w14:paraId="758E083C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0.00677</w:t>
            </w:r>
          </w:p>
        </w:tc>
      </w:tr>
      <w:tr w:rsidR="00D250B6" w:rsidRPr="000C6D52" w14:paraId="0DB58642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347A10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IFNGR2</w:t>
            </w:r>
          </w:p>
        </w:tc>
        <w:tc>
          <w:tcPr>
            <w:tcW w:w="881" w:type="pct"/>
            <w:noWrap/>
            <w:hideMark/>
          </w:tcPr>
          <w:p w14:paraId="7DFA94B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1.16758</w:t>
            </w:r>
          </w:p>
        </w:tc>
        <w:tc>
          <w:tcPr>
            <w:tcW w:w="881" w:type="pct"/>
            <w:noWrap/>
            <w:hideMark/>
          </w:tcPr>
          <w:p w14:paraId="1128094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1.00315</w:t>
            </w:r>
          </w:p>
        </w:tc>
        <w:tc>
          <w:tcPr>
            <w:tcW w:w="881" w:type="pct"/>
            <w:noWrap/>
            <w:hideMark/>
          </w:tcPr>
          <w:p w14:paraId="47F87F5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1.35897</w:t>
            </w:r>
          </w:p>
        </w:tc>
        <w:tc>
          <w:tcPr>
            <w:tcW w:w="1255" w:type="pct"/>
            <w:noWrap/>
            <w:hideMark/>
          </w:tcPr>
          <w:p w14:paraId="233A46A9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0.04544</w:t>
            </w:r>
          </w:p>
        </w:tc>
      </w:tr>
      <w:tr w:rsidR="00D250B6" w:rsidRPr="000C6D52" w14:paraId="6829C5DB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7EC42A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IGFBP3</w:t>
            </w:r>
          </w:p>
        </w:tc>
        <w:tc>
          <w:tcPr>
            <w:tcW w:w="881" w:type="pct"/>
            <w:noWrap/>
            <w:hideMark/>
          </w:tcPr>
          <w:p w14:paraId="0DC6E99A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1.07542</w:t>
            </w:r>
          </w:p>
        </w:tc>
        <w:tc>
          <w:tcPr>
            <w:tcW w:w="881" w:type="pct"/>
            <w:noWrap/>
            <w:hideMark/>
          </w:tcPr>
          <w:p w14:paraId="22FC6B0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1.00991</w:t>
            </w:r>
          </w:p>
        </w:tc>
        <w:tc>
          <w:tcPr>
            <w:tcW w:w="881" w:type="pct"/>
            <w:noWrap/>
            <w:hideMark/>
          </w:tcPr>
          <w:p w14:paraId="48A19F5D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1.14518</w:t>
            </w:r>
          </w:p>
        </w:tc>
        <w:tc>
          <w:tcPr>
            <w:tcW w:w="1255" w:type="pct"/>
            <w:noWrap/>
            <w:hideMark/>
          </w:tcPr>
          <w:p w14:paraId="7B6B8DB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0.02336</w:t>
            </w:r>
          </w:p>
        </w:tc>
      </w:tr>
      <w:tr w:rsidR="00D250B6" w:rsidRPr="000C6D52" w14:paraId="48797B49" w14:textId="77777777" w:rsidTr="00D250B6">
        <w:trPr>
          <w:trHeight w:val="276"/>
          <w:jc w:val="center"/>
        </w:trPr>
        <w:tc>
          <w:tcPr>
            <w:tcW w:w="1103" w:type="pct"/>
            <w:tcBorders>
              <w:bottom w:val="nil"/>
            </w:tcBorders>
            <w:noWrap/>
            <w:hideMark/>
          </w:tcPr>
          <w:p w14:paraId="25984AF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IGFBP5</w:t>
            </w:r>
          </w:p>
        </w:tc>
        <w:tc>
          <w:tcPr>
            <w:tcW w:w="881" w:type="pct"/>
            <w:tcBorders>
              <w:bottom w:val="nil"/>
            </w:tcBorders>
            <w:noWrap/>
            <w:hideMark/>
          </w:tcPr>
          <w:p w14:paraId="5E7F8DA3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1.17496</w:t>
            </w:r>
          </w:p>
        </w:tc>
        <w:tc>
          <w:tcPr>
            <w:tcW w:w="881" w:type="pct"/>
            <w:tcBorders>
              <w:bottom w:val="nil"/>
            </w:tcBorders>
            <w:noWrap/>
            <w:hideMark/>
          </w:tcPr>
          <w:p w14:paraId="5E6985B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1.07657</w:t>
            </w:r>
          </w:p>
        </w:tc>
        <w:tc>
          <w:tcPr>
            <w:tcW w:w="881" w:type="pct"/>
            <w:tcBorders>
              <w:bottom w:val="nil"/>
            </w:tcBorders>
            <w:noWrap/>
            <w:hideMark/>
          </w:tcPr>
          <w:p w14:paraId="113CE0EF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1.28233</w:t>
            </w:r>
          </w:p>
        </w:tc>
        <w:tc>
          <w:tcPr>
            <w:tcW w:w="1255" w:type="pct"/>
            <w:tcBorders>
              <w:bottom w:val="nil"/>
            </w:tcBorders>
            <w:noWrap/>
            <w:hideMark/>
          </w:tcPr>
          <w:p w14:paraId="678DDD8E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</w:tr>
      <w:tr w:rsidR="00D250B6" w:rsidRPr="000C6D52" w14:paraId="409D800C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nil"/>
              <w:bottom w:val="nil"/>
            </w:tcBorders>
            <w:noWrap/>
            <w:hideMark/>
          </w:tcPr>
          <w:p w14:paraId="777B6C2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IRF1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  <w:hideMark/>
          </w:tcPr>
          <w:p w14:paraId="54F1A6DB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1.12727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  <w:hideMark/>
          </w:tcPr>
          <w:p w14:paraId="559AF580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1.00188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  <w:hideMark/>
          </w:tcPr>
          <w:p w14:paraId="34C91674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1.26835</w:t>
            </w:r>
          </w:p>
        </w:tc>
        <w:tc>
          <w:tcPr>
            <w:tcW w:w="1255" w:type="pct"/>
            <w:tcBorders>
              <w:top w:val="nil"/>
              <w:bottom w:val="nil"/>
            </w:tcBorders>
            <w:noWrap/>
            <w:hideMark/>
          </w:tcPr>
          <w:p w14:paraId="216F29A6" w14:textId="77777777" w:rsidR="00BA70C1" w:rsidRPr="000C6D52" w:rsidRDefault="00BA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0.04646</w:t>
            </w:r>
          </w:p>
        </w:tc>
      </w:tr>
      <w:tr w:rsidR="00D250B6" w:rsidRPr="000C6D52" w14:paraId="319D3703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nil"/>
              <w:bottom w:val="nil"/>
            </w:tcBorders>
            <w:noWrap/>
          </w:tcPr>
          <w:p w14:paraId="33A97C8C" w14:textId="14D9A2F5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IRF2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081BD52A" w14:textId="7C4D46B9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1.17427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2ECD589E" w14:textId="3B9F307A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1.01123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16CD6D42" w14:textId="6513892A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1.36359</w:t>
            </w:r>
          </w:p>
        </w:tc>
        <w:tc>
          <w:tcPr>
            <w:tcW w:w="1255" w:type="pct"/>
            <w:tcBorders>
              <w:top w:val="nil"/>
              <w:bottom w:val="nil"/>
            </w:tcBorders>
            <w:noWrap/>
          </w:tcPr>
          <w:p w14:paraId="61E537DE" w14:textId="39821016" w:rsidR="00D250B6" w:rsidRPr="00D250B6" w:rsidRDefault="00D250B6" w:rsidP="00D250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0.03517</w:t>
            </w:r>
          </w:p>
        </w:tc>
      </w:tr>
      <w:tr w:rsidR="00D250B6" w:rsidRPr="000C6D52" w14:paraId="394FEF9C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nil"/>
              <w:bottom w:val="nil"/>
            </w:tcBorders>
            <w:noWrap/>
          </w:tcPr>
          <w:p w14:paraId="45C2309C" w14:textId="4DAFF12F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KDM5A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45CFAC89" w14:textId="71C48611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1.17292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4B1AD1C5" w14:textId="1B582CE5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1.00253</w:t>
            </w:r>
          </w:p>
        </w:tc>
        <w:tc>
          <w:tcPr>
            <w:tcW w:w="881" w:type="pct"/>
            <w:tcBorders>
              <w:top w:val="nil"/>
              <w:bottom w:val="nil"/>
            </w:tcBorders>
            <w:noWrap/>
          </w:tcPr>
          <w:p w14:paraId="5EEE4FC7" w14:textId="20BF0444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1.37227</w:t>
            </w:r>
          </w:p>
        </w:tc>
        <w:tc>
          <w:tcPr>
            <w:tcW w:w="1255" w:type="pct"/>
            <w:tcBorders>
              <w:top w:val="nil"/>
              <w:bottom w:val="nil"/>
            </w:tcBorders>
            <w:noWrap/>
          </w:tcPr>
          <w:p w14:paraId="77775DA1" w14:textId="5B136B95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0.04643</w:t>
            </w:r>
          </w:p>
        </w:tc>
      </w:tr>
      <w:tr w:rsidR="00D250B6" w:rsidRPr="000C6D52" w14:paraId="25BF9FBB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nil"/>
              <w:bottom w:val="single" w:sz="4" w:space="0" w:color="auto"/>
            </w:tcBorders>
            <w:noWrap/>
          </w:tcPr>
          <w:p w14:paraId="2955E20A" w14:textId="259FEEEE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LATS2</w:t>
            </w: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noWrap/>
          </w:tcPr>
          <w:p w14:paraId="5ECD5C2B" w14:textId="039DF476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1.40644</w:t>
            </w: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noWrap/>
          </w:tcPr>
          <w:p w14:paraId="0755C2DA" w14:textId="5DB7F7BB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1.15388</w:t>
            </w: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noWrap/>
          </w:tcPr>
          <w:p w14:paraId="0020E7E3" w14:textId="75A7A8DB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1.71427</w:t>
            </w:r>
          </w:p>
        </w:tc>
        <w:tc>
          <w:tcPr>
            <w:tcW w:w="1255" w:type="pct"/>
            <w:tcBorders>
              <w:top w:val="nil"/>
              <w:bottom w:val="single" w:sz="4" w:space="0" w:color="auto"/>
            </w:tcBorders>
            <w:noWrap/>
          </w:tcPr>
          <w:p w14:paraId="096C95E8" w14:textId="3C05D74A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0.00073</w:t>
            </w:r>
          </w:p>
        </w:tc>
      </w:tr>
      <w:tr w:rsidR="00D250B6" w:rsidRPr="000C6D52" w14:paraId="791A0A40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single" w:sz="4" w:space="0" w:color="auto"/>
              <w:bottom w:val="nil"/>
            </w:tcBorders>
            <w:noWrap/>
          </w:tcPr>
          <w:p w14:paraId="435F7E80" w14:textId="2BCEC0EF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nil"/>
            </w:tcBorders>
            <w:noWrap/>
          </w:tcPr>
          <w:p w14:paraId="4184BA39" w14:textId="46C5C2CB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nil"/>
            </w:tcBorders>
            <w:noWrap/>
          </w:tcPr>
          <w:p w14:paraId="1BE8E40B" w14:textId="45541C12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nil"/>
            </w:tcBorders>
            <w:noWrap/>
          </w:tcPr>
          <w:p w14:paraId="50812A79" w14:textId="61DBB8F9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nil"/>
            </w:tcBorders>
            <w:noWrap/>
          </w:tcPr>
          <w:p w14:paraId="064751CE" w14:textId="784ED15B" w:rsidR="00D250B6" w:rsidRPr="000F0483" w:rsidRDefault="00D250B6" w:rsidP="00D25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Continued on next page</w:t>
            </w:r>
          </w:p>
        </w:tc>
      </w:tr>
      <w:tr w:rsidR="00D250B6" w:rsidRPr="000C6D52" w14:paraId="6E0A5D57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C4266C" w14:textId="4AD3B52B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02D3DB" w14:textId="36DA0904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862B22" w14:textId="6598A27C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HR.95L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31A87E" w14:textId="2B9E6C8E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HR.95H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19CE40" w14:textId="77B74093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D250B6" w:rsidRPr="000C6D52" w14:paraId="387FDDD0" w14:textId="77777777" w:rsidTr="00D250B6">
        <w:trPr>
          <w:trHeight w:val="276"/>
          <w:jc w:val="center"/>
        </w:trPr>
        <w:tc>
          <w:tcPr>
            <w:tcW w:w="1103" w:type="pct"/>
            <w:tcBorders>
              <w:top w:val="single" w:sz="4" w:space="0" w:color="auto"/>
            </w:tcBorders>
            <w:noWrap/>
            <w:hideMark/>
          </w:tcPr>
          <w:p w14:paraId="77081ED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MAP3K14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0D9476B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1.21322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139B75D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1.04603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hideMark/>
          </w:tcPr>
          <w:p w14:paraId="4E04A2C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1.40714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noWrap/>
            <w:hideMark/>
          </w:tcPr>
          <w:p w14:paraId="22E4A44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0.01063</w:t>
            </w:r>
          </w:p>
        </w:tc>
      </w:tr>
      <w:tr w:rsidR="00D250B6" w:rsidRPr="000C6D52" w14:paraId="539AC5F6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C6D451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METTL7B</w:t>
            </w:r>
          </w:p>
        </w:tc>
        <w:tc>
          <w:tcPr>
            <w:tcW w:w="881" w:type="pct"/>
            <w:noWrap/>
            <w:hideMark/>
          </w:tcPr>
          <w:p w14:paraId="2701272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1.09782</w:t>
            </w:r>
          </w:p>
        </w:tc>
        <w:tc>
          <w:tcPr>
            <w:tcW w:w="881" w:type="pct"/>
            <w:noWrap/>
            <w:hideMark/>
          </w:tcPr>
          <w:p w14:paraId="7246DC4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1.01987</w:t>
            </w:r>
          </w:p>
        </w:tc>
        <w:tc>
          <w:tcPr>
            <w:tcW w:w="881" w:type="pct"/>
            <w:noWrap/>
            <w:hideMark/>
          </w:tcPr>
          <w:p w14:paraId="237E627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1.18173</w:t>
            </w:r>
          </w:p>
        </w:tc>
        <w:tc>
          <w:tcPr>
            <w:tcW w:w="1255" w:type="pct"/>
            <w:noWrap/>
            <w:hideMark/>
          </w:tcPr>
          <w:p w14:paraId="4294700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D250B6" w:rsidRPr="000C6D52" w14:paraId="7583B9A2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73A94D2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MMP2</w:t>
            </w:r>
          </w:p>
        </w:tc>
        <w:tc>
          <w:tcPr>
            <w:tcW w:w="881" w:type="pct"/>
            <w:noWrap/>
            <w:hideMark/>
          </w:tcPr>
          <w:p w14:paraId="4101A26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1.12567</w:t>
            </w:r>
          </w:p>
        </w:tc>
        <w:tc>
          <w:tcPr>
            <w:tcW w:w="881" w:type="pct"/>
            <w:noWrap/>
            <w:hideMark/>
          </w:tcPr>
          <w:p w14:paraId="76BFAC4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1.02111</w:t>
            </w:r>
          </w:p>
        </w:tc>
        <w:tc>
          <w:tcPr>
            <w:tcW w:w="881" w:type="pct"/>
            <w:noWrap/>
            <w:hideMark/>
          </w:tcPr>
          <w:p w14:paraId="3240BA0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1.24095</w:t>
            </w:r>
          </w:p>
        </w:tc>
        <w:tc>
          <w:tcPr>
            <w:tcW w:w="1255" w:type="pct"/>
            <w:noWrap/>
            <w:hideMark/>
          </w:tcPr>
          <w:p w14:paraId="782D1B7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0.01732</w:t>
            </w:r>
          </w:p>
        </w:tc>
      </w:tr>
      <w:tr w:rsidR="00D250B6" w:rsidRPr="000C6D52" w14:paraId="24510FFB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975838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MYD88</w:t>
            </w:r>
          </w:p>
        </w:tc>
        <w:tc>
          <w:tcPr>
            <w:tcW w:w="881" w:type="pct"/>
            <w:noWrap/>
            <w:hideMark/>
          </w:tcPr>
          <w:p w14:paraId="0C4469E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1.17688</w:t>
            </w:r>
          </w:p>
        </w:tc>
        <w:tc>
          <w:tcPr>
            <w:tcW w:w="881" w:type="pct"/>
            <w:noWrap/>
            <w:hideMark/>
          </w:tcPr>
          <w:p w14:paraId="379F86C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1.03075</w:t>
            </w:r>
          </w:p>
        </w:tc>
        <w:tc>
          <w:tcPr>
            <w:tcW w:w="881" w:type="pct"/>
            <w:noWrap/>
            <w:hideMark/>
          </w:tcPr>
          <w:p w14:paraId="7E03560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1.34373</w:t>
            </w:r>
          </w:p>
        </w:tc>
        <w:tc>
          <w:tcPr>
            <w:tcW w:w="1255" w:type="pct"/>
            <w:noWrap/>
            <w:hideMark/>
          </w:tcPr>
          <w:p w14:paraId="6108A93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0.01605</w:t>
            </w:r>
          </w:p>
        </w:tc>
      </w:tr>
      <w:tr w:rsidR="00D250B6" w:rsidRPr="000C6D52" w14:paraId="1168E7FB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4DED7F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NAMPT</w:t>
            </w:r>
          </w:p>
        </w:tc>
        <w:tc>
          <w:tcPr>
            <w:tcW w:w="881" w:type="pct"/>
            <w:noWrap/>
            <w:hideMark/>
          </w:tcPr>
          <w:p w14:paraId="040FF90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1.09404</w:t>
            </w:r>
          </w:p>
        </w:tc>
        <w:tc>
          <w:tcPr>
            <w:tcW w:w="881" w:type="pct"/>
            <w:noWrap/>
            <w:hideMark/>
          </w:tcPr>
          <w:p w14:paraId="73D109E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1.01254</w:t>
            </w:r>
          </w:p>
        </w:tc>
        <w:tc>
          <w:tcPr>
            <w:tcW w:w="881" w:type="pct"/>
            <w:noWrap/>
            <w:hideMark/>
          </w:tcPr>
          <w:p w14:paraId="3576FCD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1.1821</w:t>
            </w:r>
          </w:p>
        </w:tc>
        <w:tc>
          <w:tcPr>
            <w:tcW w:w="1255" w:type="pct"/>
            <w:noWrap/>
            <w:hideMark/>
          </w:tcPr>
          <w:p w14:paraId="30CF07B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0.02288</w:t>
            </w:r>
          </w:p>
        </w:tc>
      </w:tr>
      <w:tr w:rsidR="00D250B6" w:rsidRPr="000C6D52" w14:paraId="1FB8B4BC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098478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</w:p>
        </w:tc>
        <w:tc>
          <w:tcPr>
            <w:tcW w:w="881" w:type="pct"/>
            <w:noWrap/>
            <w:hideMark/>
          </w:tcPr>
          <w:p w14:paraId="6CFBBFA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1.21307</w:t>
            </w:r>
          </w:p>
        </w:tc>
        <w:tc>
          <w:tcPr>
            <w:tcW w:w="881" w:type="pct"/>
            <w:noWrap/>
            <w:hideMark/>
          </w:tcPr>
          <w:p w14:paraId="10F3844B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1.01585</w:t>
            </w:r>
          </w:p>
        </w:tc>
        <w:tc>
          <w:tcPr>
            <w:tcW w:w="881" w:type="pct"/>
            <w:noWrap/>
            <w:hideMark/>
          </w:tcPr>
          <w:p w14:paraId="6926F98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1.44858</w:t>
            </w:r>
          </w:p>
        </w:tc>
        <w:tc>
          <w:tcPr>
            <w:tcW w:w="1255" w:type="pct"/>
            <w:noWrap/>
            <w:hideMark/>
          </w:tcPr>
          <w:p w14:paraId="17407AE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0.03287</w:t>
            </w:r>
          </w:p>
        </w:tc>
      </w:tr>
      <w:tr w:rsidR="00D250B6" w:rsidRPr="000C6D52" w14:paraId="40AF40B8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BFA539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NLRC5</w:t>
            </w:r>
          </w:p>
        </w:tc>
        <w:tc>
          <w:tcPr>
            <w:tcW w:w="881" w:type="pct"/>
            <w:noWrap/>
            <w:hideMark/>
          </w:tcPr>
          <w:p w14:paraId="1D65595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1.12868</w:t>
            </w:r>
          </w:p>
        </w:tc>
        <w:tc>
          <w:tcPr>
            <w:tcW w:w="881" w:type="pct"/>
            <w:noWrap/>
            <w:hideMark/>
          </w:tcPr>
          <w:p w14:paraId="5420384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1.0075</w:t>
            </w:r>
          </w:p>
        </w:tc>
        <w:tc>
          <w:tcPr>
            <w:tcW w:w="881" w:type="pct"/>
            <w:noWrap/>
            <w:hideMark/>
          </w:tcPr>
          <w:p w14:paraId="731B5940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1.26444</w:t>
            </w:r>
          </w:p>
        </w:tc>
        <w:tc>
          <w:tcPr>
            <w:tcW w:w="1255" w:type="pct"/>
            <w:noWrap/>
            <w:hideMark/>
          </w:tcPr>
          <w:p w14:paraId="7B3BD03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0.03672</w:t>
            </w:r>
          </w:p>
        </w:tc>
      </w:tr>
      <w:tr w:rsidR="00D250B6" w:rsidRPr="000C6D52" w14:paraId="764C7A20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E52A6F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NR1H4</w:t>
            </w:r>
          </w:p>
        </w:tc>
        <w:tc>
          <w:tcPr>
            <w:tcW w:w="881" w:type="pct"/>
            <w:noWrap/>
            <w:hideMark/>
          </w:tcPr>
          <w:p w14:paraId="63DD111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0.39009</w:t>
            </w:r>
          </w:p>
        </w:tc>
        <w:tc>
          <w:tcPr>
            <w:tcW w:w="881" w:type="pct"/>
            <w:noWrap/>
            <w:hideMark/>
          </w:tcPr>
          <w:p w14:paraId="32E4E59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0.19755</w:t>
            </w:r>
          </w:p>
        </w:tc>
        <w:tc>
          <w:tcPr>
            <w:tcW w:w="881" w:type="pct"/>
            <w:noWrap/>
            <w:hideMark/>
          </w:tcPr>
          <w:p w14:paraId="1248839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0.77027</w:t>
            </w:r>
          </w:p>
        </w:tc>
        <w:tc>
          <w:tcPr>
            <w:tcW w:w="1255" w:type="pct"/>
            <w:noWrap/>
            <w:hideMark/>
          </w:tcPr>
          <w:p w14:paraId="02EDC28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0.00669</w:t>
            </w:r>
          </w:p>
        </w:tc>
      </w:tr>
      <w:tr w:rsidR="00D250B6" w:rsidRPr="000C6D52" w14:paraId="77CFB1E7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6EF6099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PARP14</w:t>
            </w:r>
          </w:p>
        </w:tc>
        <w:tc>
          <w:tcPr>
            <w:tcW w:w="881" w:type="pct"/>
            <w:noWrap/>
            <w:hideMark/>
          </w:tcPr>
          <w:p w14:paraId="6FDB199B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1.1575</w:t>
            </w:r>
          </w:p>
        </w:tc>
        <w:tc>
          <w:tcPr>
            <w:tcW w:w="881" w:type="pct"/>
            <w:noWrap/>
            <w:hideMark/>
          </w:tcPr>
          <w:p w14:paraId="4372463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1.00178</w:t>
            </w:r>
          </w:p>
        </w:tc>
        <w:tc>
          <w:tcPr>
            <w:tcW w:w="881" w:type="pct"/>
            <w:noWrap/>
            <w:hideMark/>
          </w:tcPr>
          <w:p w14:paraId="11FCB660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1.33743</w:t>
            </w:r>
          </w:p>
        </w:tc>
        <w:tc>
          <w:tcPr>
            <w:tcW w:w="1255" w:type="pct"/>
            <w:noWrap/>
            <w:hideMark/>
          </w:tcPr>
          <w:p w14:paraId="26ED472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0.04725</w:t>
            </w:r>
          </w:p>
        </w:tc>
      </w:tr>
      <w:tr w:rsidR="00D250B6" w:rsidRPr="000C6D52" w14:paraId="713DDA6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75E8EC1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PARP9</w:t>
            </w:r>
          </w:p>
        </w:tc>
        <w:tc>
          <w:tcPr>
            <w:tcW w:w="881" w:type="pct"/>
            <w:noWrap/>
            <w:hideMark/>
          </w:tcPr>
          <w:p w14:paraId="03B6344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1.15368</w:t>
            </w:r>
          </w:p>
        </w:tc>
        <w:tc>
          <w:tcPr>
            <w:tcW w:w="881" w:type="pct"/>
            <w:noWrap/>
            <w:hideMark/>
          </w:tcPr>
          <w:p w14:paraId="7FFF6BD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1.02454</w:t>
            </w:r>
          </w:p>
        </w:tc>
        <w:tc>
          <w:tcPr>
            <w:tcW w:w="881" w:type="pct"/>
            <w:noWrap/>
            <w:hideMark/>
          </w:tcPr>
          <w:p w14:paraId="04D9FDB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1.2991</w:t>
            </w:r>
          </w:p>
        </w:tc>
        <w:tc>
          <w:tcPr>
            <w:tcW w:w="1255" w:type="pct"/>
            <w:noWrap/>
            <w:hideMark/>
          </w:tcPr>
          <w:p w14:paraId="39E715D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0.01826</w:t>
            </w:r>
          </w:p>
        </w:tc>
      </w:tr>
      <w:tr w:rsidR="00D250B6" w:rsidRPr="000C6D52" w14:paraId="159CDADA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6CF19B6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PDGFA</w:t>
            </w:r>
          </w:p>
        </w:tc>
        <w:tc>
          <w:tcPr>
            <w:tcW w:w="881" w:type="pct"/>
            <w:noWrap/>
            <w:hideMark/>
          </w:tcPr>
          <w:p w14:paraId="0BE4B35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1.15105</w:t>
            </w:r>
          </w:p>
        </w:tc>
        <w:tc>
          <w:tcPr>
            <w:tcW w:w="881" w:type="pct"/>
            <w:noWrap/>
            <w:hideMark/>
          </w:tcPr>
          <w:p w14:paraId="5FC0C52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1.02447</w:t>
            </w:r>
          </w:p>
        </w:tc>
        <w:tc>
          <w:tcPr>
            <w:tcW w:w="881" w:type="pct"/>
            <w:noWrap/>
            <w:hideMark/>
          </w:tcPr>
          <w:p w14:paraId="0157697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1.29328</w:t>
            </w:r>
          </w:p>
        </w:tc>
        <w:tc>
          <w:tcPr>
            <w:tcW w:w="1255" w:type="pct"/>
            <w:noWrap/>
            <w:hideMark/>
          </w:tcPr>
          <w:p w14:paraId="1176CCD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0.01795</w:t>
            </w:r>
          </w:p>
        </w:tc>
      </w:tr>
      <w:tr w:rsidR="00D250B6" w:rsidRPr="000C6D52" w14:paraId="2B01AFC6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3D84A98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PTPRZ1</w:t>
            </w:r>
          </w:p>
        </w:tc>
        <w:tc>
          <w:tcPr>
            <w:tcW w:w="881" w:type="pct"/>
            <w:noWrap/>
            <w:hideMark/>
          </w:tcPr>
          <w:p w14:paraId="2567CD4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1.09817</w:t>
            </w:r>
          </w:p>
        </w:tc>
        <w:tc>
          <w:tcPr>
            <w:tcW w:w="881" w:type="pct"/>
            <w:noWrap/>
            <w:hideMark/>
          </w:tcPr>
          <w:p w14:paraId="1A3B3EA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1.01079</w:t>
            </w:r>
          </w:p>
        </w:tc>
        <w:tc>
          <w:tcPr>
            <w:tcW w:w="881" w:type="pct"/>
            <w:noWrap/>
            <w:hideMark/>
          </w:tcPr>
          <w:p w14:paraId="6DDEDA3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1.1931</w:t>
            </w:r>
          </w:p>
        </w:tc>
        <w:tc>
          <w:tcPr>
            <w:tcW w:w="1255" w:type="pct"/>
            <w:noWrap/>
            <w:hideMark/>
          </w:tcPr>
          <w:p w14:paraId="19674D00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0.02684</w:t>
            </w:r>
          </w:p>
        </w:tc>
      </w:tr>
      <w:tr w:rsidR="00D250B6" w:rsidRPr="000C6D52" w14:paraId="395F572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7AC1104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SAMD9L</w:t>
            </w:r>
          </w:p>
        </w:tc>
        <w:tc>
          <w:tcPr>
            <w:tcW w:w="881" w:type="pct"/>
            <w:noWrap/>
            <w:hideMark/>
          </w:tcPr>
          <w:p w14:paraId="5B9B3DD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1.16668</w:t>
            </w:r>
          </w:p>
        </w:tc>
        <w:tc>
          <w:tcPr>
            <w:tcW w:w="881" w:type="pct"/>
            <w:noWrap/>
            <w:hideMark/>
          </w:tcPr>
          <w:p w14:paraId="6DA0B2F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1.03761</w:t>
            </w:r>
          </w:p>
        </w:tc>
        <w:tc>
          <w:tcPr>
            <w:tcW w:w="881" w:type="pct"/>
            <w:noWrap/>
            <w:hideMark/>
          </w:tcPr>
          <w:p w14:paraId="48FF186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1.31182</w:t>
            </w:r>
          </w:p>
        </w:tc>
        <w:tc>
          <w:tcPr>
            <w:tcW w:w="1255" w:type="pct"/>
            <w:noWrap/>
            <w:hideMark/>
          </w:tcPr>
          <w:p w14:paraId="7D5823B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0.00997</w:t>
            </w:r>
          </w:p>
        </w:tc>
      </w:tr>
      <w:tr w:rsidR="00D250B6" w:rsidRPr="000C6D52" w14:paraId="6E82E442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99F898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SELL</w:t>
            </w:r>
          </w:p>
        </w:tc>
        <w:tc>
          <w:tcPr>
            <w:tcW w:w="881" w:type="pct"/>
            <w:noWrap/>
            <w:hideMark/>
          </w:tcPr>
          <w:p w14:paraId="186CAEE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0.84209</w:t>
            </w:r>
          </w:p>
        </w:tc>
        <w:tc>
          <w:tcPr>
            <w:tcW w:w="881" w:type="pct"/>
            <w:noWrap/>
            <w:hideMark/>
          </w:tcPr>
          <w:p w14:paraId="1C7EB51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0.74728</w:t>
            </w:r>
          </w:p>
        </w:tc>
        <w:tc>
          <w:tcPr>
            <w:tcW w:w="881" w:type="pct"/>
            <w:noWrap/>
            <w:hideMark/>
          </w:tcPr>
          <w:p w14:paraId="43F6707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0.94891</w:t>
            </w:r>
          </w:p>
        </w:tc>
        <w:tc>
          <w:tcPr>
            <w:tcW w:w="1255" w:type="pct"/>
            <w:noWrap/>
            <w:hideMark/>
          </w:tcPr>
          <w:p w14:paraId="6045BD7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0.0048</w:t>
            </w:r>
          </w:p>
        </w:tc>
      </w:tr>
      <w:tr w:rsidR="00D250B6" w:rsidRPr="000C6D52" w14:paraId="0ABF7A5D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E7BAA3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SLC11A1</w:t>
            </w:r>
          </w:p>
        </w:tc>
        <w:tc>
          <w:tcPr>
            <w:tcW w:w="881" w:type="pct"/>
            <w:noWrap/>
            <w:hideMark/>
          </w:tcPr>
          <w:p w14:paraId="593EE68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1.13712</w:t>
            </w:r>
          </w:p>
        </w:tc>
        <w:tc>
          <w:tcPr>
            <w:tcW w:w="881" w:type="pct"/>
            <w:noWrap/>
            <w:hideMark/>
          </w:tcPr>
          <w:p w14:paraId="5D1E0F3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1.04531</w:t>
            </w:r>
          </w:p>
        </w:tc>
        <w:tc>
          <w:tcPr>
            <w:tcW w:w="881" w:type="pct"/>
            <w:noWrap/>
            <w:hideMark/>
          </w:tcPr>
          <w:p w14:paraId="6539E8A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1.237</w:t>
            </w:r>
          </w:p>
        </w:tc>
        <w:tc>
          <w:tcPr>
            <w:tcW w:w="1255" w:type="pct"/>
            <w:noWrap/>
            <w:hideMark/>
          </w:tcPr>
          <w:p w14:paraId="79A003D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0.00278</w:t>
            </w:r>
          </w:p>
        </w:tc>
      </w:tr>
      <w:tr w:rsidR="00D250B6" w:rsidRPr="000C6D52" w14:paraId="051F02E7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6EC60AF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SOCS3</w:t>
            </w:r>
          </w:p>
        </w:tc>
        <w:tc>
          <w:tcPr>
            <w:tcW w:w="881" w:type="pct"/>
            <w:noWrap/>
            <w:hideMark/>
          </w:tcPr>
          <w:p w14:paraId="3EA0778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1.12503</w:t>
            </w:r>
          </w:p>
        </w:tc>
        <w:tc>
          <w:tcPr>
            <w:tcW w:w="881" w:type="pct"/>
            <w:noWrap/>
            <w:hideMark/>
          </w:tcPr>
          <w:p w14:paraId="2D1589C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1.04765</w:t>
            </w:r>
          </w:p>
        </w:tc>
        <w:tc>
          <w:tcPr>
            <w:tcW w:w="881" w:type="pct"/>
            <w:noWrap/>
            <w:hideMark/>
          </w:tcPr>
          <w:p w14:paraId="2E5338B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1.20813</w:t>
            </w:r>
          </w:p>
        </w:tc>
        <w:tc>
          <w:tcPr>
            <w:tcW w:w="1255" w:type="pct"/>
            <w:noWrap/>
            <w:hideMark/>
          </w:tcPr>
          <w:p w14:paraId="49B3786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0.00119</w:t>
            </w:r>
          </w:p>
        </w:tc>
      </w:tr>
      <w:tr w:rsidR="00D250B6" w:rsidRPr="000C6D52" w14:paraId="2FD216EF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1BF189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SOD2</w:t>
            </w:r>
          </w:p>
        </w:tc>
        <w:tc>
          <w:tcPr>
            <w:tcW w:w="881" w:type="pct"/>
            <w:noWrap/>
            <w:hideMark/>
          </w:tcPr>
          <w:p w14:paraId="6B1EDC9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1.11762</w:t>
            </w:r>
          </w:p>
        </w:tc>
        <w:tc>
          <w:tcPr>
            <w:tcW w:w="881" w:type="pct"/>
            <w:noWrap/>
            <w:hideMark/>
          </w:tcPr>
          <w:p w14:paraId="1A01DCE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1.03075</w:t>
            </w:r>
          </w:p>
        </w:tc>
        <w:tc>
          <w:tcPr>
            <w:tcW w:w="881" w:type="pct"/>
            <w:noWrap/>
            <w:hideMark/>
          </w:tcPr>
          <w:p w14:paraId="5485805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1.21181</w:t>
            </w:r>
          </w:p>
        </w:tc>
        <w:tc>
          <w:tcPr>
            <w:tcW w:w="1255" w:type="pct"/>
            <w:noWrap/>
            <w:hideMark/>
          </w:tcPr>
          <w:p w14:paraId="20992FF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0.00707</w:t>
            </w:r>
          </w:p>
        </w:tc>
      </w:tr>
      <w:tr w:rsidR="00D250B6" w:rsidRPr="000C6D52" w14:paraId="68248CA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9C6A07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</w:p>
        </w:tc>
        <w:tc>
          <w:tcPr>
            <w:tcW w:w="881" w:type="pct"/>
            <w:noWrap/>
            <w:hideMark/>
          </w:tcPr>
          <w:p w14:paraId="4408018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0.72737</w:t>
            </w:r>
          </w:p>
        </w:tc>
        <w:tc>
          <w:tcPr>
            <w:tcW w:w="881" w:type="pct"/>
            <w:noWrap/>
            <w:hideMark/>
          </w:tcPr>
          <w:p w14:paraId="022F664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0.57563</w:t>
            </w:r>
          </w:p>
        </w:tc>
        <w:tc>
          <w:tcPr>
            <w:tcW w:w="881" w:type="pct"/>
            <w:noWrap/>
            <w:hideMark/>
          </w:tcPr>
          <w:p w14:paraId="6F7330D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0.91912</w:t>
            </w:r>
          </w:p>
        </w:tc>
        <w:tc>
          <w:tcPr>
            <w:tcW w:w="1255" w:type="pct"/>
            <w:noWrap/>
            <w:hideMark/>
          </w:tcPr>
          <w:p w14:paraId="3124B44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0.00767</w:t>
            </w:r>
          </w:p>
        </w:tc>
      </w:tr>
      <w:tr w:rsidR="00D250B6" w:rsidRPr="000C6D52" w14:paraId="69FF81E9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5D35282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STAT2</w:t>
            </w:r>
          </w:p>
        </w:tc>
        <w:tc>
          <w:tcPr>
            <w:tcW w:w="881" w:type="pct"/>
            <w:noWrap/>
            <w:hideMark/>
          </w:tcPr>
          <w:p w14:paraId="5B533F0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1.18473</w:t>
            </w:r>
          </w:p>
        </w:tc>
        <w:tc>
          <w:tcPr>
            <w:tcW w:w="881" w:type="pct"/>
            <w:noWrap/>
            <w:hideMark/>
          </w:tcPr>
          <w:p w14:paraId="23A6EDD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1.02929</w:t>
            </w:r>
          </w:p>
        </w:tc>
        <w:tc>
          <w:tcPr>
            <w:tcW w:w="881" w:type="pct"/>
            <w:noWrap/>
            <w:hideMark/>
          </w:tcPr>
          <w:p w14:paraId="55FEAD8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1.36364</w:t>
            </w:r>
          </w:p>
        </w:tc>
        <w:tc>
          <w:tcPr>
            <w:tcW w:w="1255" w:type="pct"/>
            <w:noWrap/>
            <w:hideMark/>
          </w:tcPr>
          <w:p w14:paraId="2653701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0.01816</w:t>
            </w:r>
          </w:p>
        </w:tc>
      </w:tr>
      <w:tr w:rsidR="00D250B6" w:rsidRPr="000C6D52" w14:paraId="3C6C4D0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A27AEE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881" w:type="pct"/>
            <w:noWrap/>
            <w:hideMark/>
          </w:tcPr>
          <w:p w14:paraId="2F6D6C9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1.2824</w:t>
            </w:r>
          </w:p>
        </w:tc>
        <w:tc>
          <w:tcPr>
            <w:tcW w:w="881" w:type="pct"/>
            <w:noWrap/>
            <w:hideMark/>
          </w:tcPr>
          <w:p w14:paraId="13EAEDA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1.10195</w:t>
            </w:r>
          </w:p>
        </w:tc>
        <w:tc>
          <w:tcPr>
            <w:tcW w:w="881" w:type="pct"/>
            <w:noWrap/>
            <w:hideMark/>
          </w:tcPr>
          <w:p w14:paraId="36AC575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1.49241</w:t>
            </w:r>
          </w:p>
        </w:tc>
        <w:tc>
          <w:tcPr>
            <w:tcW w:w="1255" w:type="pct"/>
            <w:noWrap/>
            <w:hideMark/>
          </w:tcPr>
          <w:p w14:paraId="0C9E9FF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0.00131</w:t>
            </w:r>
          </w:p>
        </w:tc>
      </w:tr>
      <w:tr w:rsidR="00D250B6" w:rsidRPr="000C6D52" w14:paraId="69CDEDB7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1D4E901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TNFAIP3</w:t>
            </w:r>
          </w:p>
        </w:tc>
        <w:tc>
          <w:tcPr>
            <w:tcW w:w="881" w:type="pct"/>
            <w:noWrap/>
            <w:hideMark/>
          </w:tcPr>
          <w:p w14:paraId="7FFB99C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1.15164</w:t>
            </w:r>
          </w:p>
        </w:tc>
        <w:tc>
          <w:tcPr>
            <w:tcW w:w="881" w:type="pct"/>
            <w:noWrap/>
            <w:hideMark/>
          </w:tcPr>
          <w:p w14:paraId="7248A13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1.02461</w:t>
            </w:r>
          </w:p>
        </w:tc>
        <w:tc>
          <w:tcPr>
            <w:tcW w:w="881" w:type="pct"/>
            <w:noWrap/>
            <w:hideMark/>
          </w:tcPr>
          <w:p w14:paraId="675DC77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1.29441</w:t>
            </w:r>
          </w:p>
        </w:tc>
        <w:tc>
          <w:tcPr>
            <w:tcW w:w="1255" w:type="pct"/>
            <w:noWrap/>
            <w:hideMark/>
          </w:tcPr>
          <w:p w14:paraId="13BA369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0.0179</w:t>
            </w:r>
          </w:p>
        </w:tc>
      </w:tr>
      <w:tr w:rsidR="00D250B6" w:rsidRPr="000C6D52" w14:paraId="30DCC87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1C2566A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TNFAIP6</w:t>
            </w:r>
          </w:p>
        </w:tc>
        <w:tc>
          <w:tcPr>
            <w:tcW w:w="881" w:type="pct"/>
            <w:noWrap/>
            <w:hideMark/>
          </w:tcPr>
          <w:p w14:paraId="61E051C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1.1049</w:t>
            </w:r>
          </w:p>
        </w:tc>
        <w:tc>
          <w:tcPr>
            <w:tcW w:w="881" w:type="pct"/>
            <w:noWrap/>
            <w:hideMark/>
          </w:tcPr>
          <w:p w14:paraId="75AE778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1.00411</w:t>
            </w:r>
          </w:p>
        </w:tc>
        <w:tc>
          <w:tcPr>
            <w:tcW w:w="881" w:type="pct"/>
            <w:noWrap/>
            <w:hideMark/>
          </w:tcPr>
          <w:p w14:paraId="412CDC1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1.21582</w:t>
            </w:r>
          </w:p>
        </w:tc>
        <w:tc>
          <w:tcPr>
            <w:tcW w:w="1255" w:type="pct"/>
            <w:noWrap/>
            <w:hideMark/>
          </w:tcPr>
          <w:p w14:paraId="710390F4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0.04095</w:t>
            </w:r>
          </w:p>
        </w:tc>
      </w:tr>
      <w:tr w:rsidR="00D250B6" w:rsidRPr="000C6D52" w14:paraId="27C110F5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1045A5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TNFSF14</w:t>
            </w:r>
          </w:p>
        </w:tc>
        <w:tc>
          <w:tcPr>
            <w:tcW w:w="881" w:type="pct"/>
            <w:noWrap/>
            <w:hideMark/>
          </w:tcPr>
          <w:p w14:paraId="3F09DFB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1.28738</w:t>
            </w:r>
          </w:p>
        </w:tc>
        <w:tc>
          <w:tcPr>
            <w:tcW w:w="881" w:type="pct"/>
            <w:noWrap/>
            <w:hideMark/>
          </w:tcPr>
          <w:p w14:paraId="78D961B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1.10872</w:t>
            </w:r>
          </w:p>
        </w:tc>
        <w:tc>
          <w:tcPr>
            <w:tcW w:w="881" w:type="pct"/>
            <w:noWrap/>
            <w:hideMark/>
          </w:tcPr>
          <w:p w14:paraId="4685FC8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1.49483</w:t>
            </w:r>
          </w:p>
        </w:tc>
        <w:tc>
          <w:tcPr>
            <w:tcW w:w="1255" w:type="pct"/>
            <w:noWrap/>
            <w:hideMark/>
          </w:tcPr>
          <w:p w14:paraId="1D357B1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0.00092</w:t>
            </w:r>
          </w:p>
        </w:tc>
      </w:tr>
      <w:tr w:rsidR="00D250B6" w:rsidRPr="000C6D52" w14:paraId="2B922500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34B43F6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TOR1B</w:t>
            </w:r>
          </w:p>
        </w:tc>
        <w:tc>
          <w:tcPr>
            <w:tcW w:w="881" w:type="pct"/>
            <w:noWrap/>
            <w:hideMark/>
          </w:tcPr>
          <w:p w14:paraId="01F209D3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1.18826</w:t>
            </w:r>
          </w:p>
        </w:tc>
        <w:tc>
          <w:tcPr>
            <w:tcW w:w="881" w:type="pct"/>
            <w:noWrap/>
            <w:hideMark/>
          </w:tcPr>
          <w:p w14:paraId="3D6F933B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1.00253</w:t>
            </w:r>
          </w:p>
        </w:tc>
        <w:tc>
          <w:tcPr>
            <w:tcW w:w="881" w:type="pct"/>
            <w:noWrap/>
            <w:hideMark/>
          </w:tcPr>
          <w:p w14:paraId="7C70256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1.40841</w:t>
            </w:r>
          </w:p>
        </w:tc>
        <w:tc>
          <w:tcPr>
            <w:tcW w:w="1255" w:type="pct"/>
            <w:noWrap/>
            <w:hideMark/>
          </w:tcPr>
          <w:p w14:paraId="75572778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0.04669</w:t>
            </w:r>
          </w:p>
        </w:tc>
      </w:tr>
      <w:tr w:rsidR="00D250B6" w:rsidRPr="000C6D52" w14:paraId="230ED15E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0A234F6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TRIM14</w:t>
            </w:r>
          </w:p>
        </w:tc>
        <w:tc>
          <w:tcPr>
            <w:tcW w:w="881" w:type="pct"/>
            <w:noWrap/>
            <w:hideMark/>
          </w:tcPr>
          <w:p w14:paraId="09D6918B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1.26632</w:t>
            </w:r>
          </w:p>
        </w:tc>
        <w:tc>
          <w:tcPr>
            <w:tcW w:w="881" w:type="pct"/>
            <w:noWrap/>
            <w:hideMark/>
          </w:tcPr>
          <w:p w14:paraId="079A429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1.06828</w:t>
            </w:r>
          </w:p>
        </w:tc>
        <w:tc>
          <w:tcPr>
            <w:tcW w:w="881" w:type="pct"/>
            <w:noWrap/>
            <w:hideMark/>
          </w:tcPr>
          <w:p w14:paraId="43FA2E9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1.50106</w:t>
            </w:r>
          </w:p>
        </w:tc>
        <w:tc>
          <w:tcPr>
            <w:tcW w:w="1255" w:type="pct"/>
            <w:noWrap/>
            <w:hideMark/>
          </w:tcPr>
          <w:p w14:paraId="6FDA417A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0.0065</w:t>
            </w:r>
          </w:p>
        </w:tc>
      </w:tr>
      <w:tr w:rsidR="00D250B6" w:rsidRPr="000C6D52" w14:paraId="7560EE98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0A82DA4B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881" w:type="pct"/>
            <w:noWrap/>
            <w:hideMark/>
          </w:tcPr>
          <w:p w14:paraId="58FD2C3D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1.16502</w:t>
            </w:r>
          </w:p>
        </w:tc>
        <w:tc>
          <w:tcPr>
            <w:tcW w:w="881" w:type="pct"/>
            <w:noWrap/>
            <w:hideMark/>
          </w:tcPr>
          <w:p w14:paraId="0396F47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1.0639</w:t>
            </w:r>
          </w:p>
        </w:tc>
        <w:tc>
          <w:tcPr>
            <w:tcW w:w="881" w:type="pct"/>
            <w:noWrap/>
            <w:hideMark/>
          </w:tcPr>
          <w:p w14:paraId="512CED3E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1.27574</w:t>
            </w:r>
          </w:p>
        </w:tc>
        <w:tc>
          <w:tcPr>
            <w:tcW w:w="1255" w:type="pct"/>
            <w:noWrap/>
            <w:hideMark/>
          </w:tcPr>
          <w:p w14:paraId="43963AF7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0.00098</w:t>
            </w:r>
          </w:p>
        </w:tc>
      </w:tr>
      <w:tr w:rsidR="00D250B6" w:rsidRPr="000C6D52" w14:paraId="7A6102CF" w14:textId="77777777" w:rsidTr="00D250B6">
        <w:trPr>
          <w:trHeight w:val="276"/>
          <w:jc w:val="center"/>
        </w:trPr>
        <w:tc>
          <w:tcPr>
            <w:tcW w:w="1103" w:type="pct"/>
            <w:noWrap/>
            <w:hideMark/>
          </w:tcPr>
          <w:p w14:paraId="22AE2765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XCL1</w:t>
            </w:r>
          </w:p>
        </w:tc>
        <w:tc>
          <w:tcPr>
            <w:tcW w:w="881" w:type="pct"/>
            <w:noWrap/>
            <w:hideMark/>
          </w:tcPr>
          <w:p w14:paraId="0E2A1002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1.7696</w:t>
            </w:r>
          </w:p>
        </w:tc>
        <w:tc>
          <w:tcPr>
            <w:tcW w:w="881" w:type="pct"/>
            <w:noWrap/>
            <w:hideMark/>
          </w:tcPr>
          <w:p w14:paraId="7EB4C6AF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1.00369</w:t>
            </w:r>
          </w:p>
        </w:tc>
        <w:tc>
          <w:tcPr>
            <w:tcW w:w="881" w:type="pct"/>
            <w:noWrap/>
            <w:hideMark/>
          </w:tcPr>
          <w:p w14:paraId="78371CFC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3.11998</w:t>
            </w:r>
          </w:p>
        </w:tc>
        <w:tc>
          <w:tcPr>
            <w:tcW w:w="1255" w:type="pct"/>
            <w:noWrap/>
            <w:hideMark/>
          </w:tcPr>
          <w:p w14:paraId="755FE1A9" w14:textId="77777777" w:rsidR="00D250B6" w:rsidRPr="000C6D52" w:rsidRDefault="00D250B6" w:rsidP="00D2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0.04853</w:t>
            </w:r>
          </w:p>
        </w:tc>
      </w:tr>
    </w:tbl>
    <w:p w14:paraId="6FEFE1F5" w14:textId="46B29944" w:rsidR="00BA70C1" w:rsidRPr="000C6D52" w:rsidRDefault="00E7730E" w:rsidP="0067626D">
      <w:pPr>
        <w:spacing w:beforeLines="100" w:before="312" w:afterLines="50" w:after="156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52">
        <w:rPr>
          <w:rFonts w:ascii="Times New Roman" w:hAnsi="Times New Roman" w:cs="Times New Roman"/>
          <w:b/>
          <w:bCs/>
          <w:sz w:val="24"/>
          <w:szCs w:val="24"/>
        </w:rPr>
        <w:t xml:space="preserve">Table S3. </w:t>
      </w:r>
      <w:r w:rsidRPr="000C6D52">
        <w:rPr>
          <w:rFonts w:ascii="Times New Roman" w:hAnsi="Times New Roman" w:cs="Times New Roman"/>
          <w:sz w:val="24"/>
          <w:szCs w:val="24"/>
        </w:rPr>
        <w:t>Top 30 nodes in protein-protein interaction network based on 54 genes</w:t>
      </w:r>
      <w:r w:rsidR="000C6D52" w:rsidRPr="000C6D52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4738"/>
        <w:gridCol w:w="2775"/>
      </w:tblGrid>
      <w:tr w:rsidR="00E7730E" w:rsidRPr="000C6D52" w14:paraId="49775AD2" w14:textId="77777777" w:rsidTr="000C6D52">
        <w:trPr>
          <w:trHeight w:val="276"/>
          <w:jc w:val="center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FB581F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7059F5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37C46C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E7730E" w:rsidRPr="000C6D52" w14:paraId="4F8DE4B4" w14:textId="77777777" w:rsidTr="000C6D52">
        <w:trPr>
          <w:trHeight w:val="276"/>
          <w:jc w:val="center"/>
        </w:trPr>
        <w:tc>
          <w:tcPr>
            <w:tcW w:w="1229" w:type="pct"/>
            <w:tcBorders>
              <w:top w:val="single" w:sz="4" w:space="0" w:color="auto"/>
            </w:tcBorders>
            <w:noWrap/>
            <w:hideMark/>
          </w:tcPr>
          <w:p w14:paraId="02E4003C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noWrap/>
            <w:hideMark/>
          </w:tcPr>
          <w:p w14:paraId="7FE9BE62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</w:tc>
        <w:tc>
          <w:tcPr>
            <w:tcW w:w="1393" w:type="pct"/>
            <w:tcBorders>
              <w:top w:val="single" w:sz="4" w:space="0" w:color="auto"/>
            </w:tcBorders>
            <w:noWrap/>
            <w:hideMark/>
          </w:tcPr>
          <w:p w14:paraId="4539A579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730E" w:rsidRPr="000C6D52" w14:paraId="011DD966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18BADC0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pct"/>
            <w:noWrap/>
            <w:hideMark/>
          </w:tcPr>
          <w:p w14:paraId="369568DB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CD44</w:t>
            </w:r>
          </w:p>
        </w:tc>
        <w:tc>
          <w:tcPr>
            <w:tcW w:w="1393" w:type="pct"/>
            <w:noWrap/>
            <w:hideMark/>
          </w:tcPr>
          <w:p w14:paraId="1CE465B0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730E" w:rsidRPr="000C6D52" w14:paraId="77916A82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7129C3F7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pct"/>
            <w:noWrap/>
            <w:hideMark/>
          </w:tcPr>
          <w:p w14:paraId="6A4FD77C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CCL2</w:t>
            </w:r>
          </w:p>
        </w:tc>
        <w:tc>
          <w:tcPr>
            <w:tcW w:w="1393" w:type="pct"/>
            <w:noWrap/>
            <w:hideMark/>
          </w:tcPr>
          <w:p w14:paraId="140AA610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730E" w:rsidRPr="000C6D52" w14:paraId="4822FEDF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20AFEDFF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pct"/>
            <w:noWrap/>
            <w:hideMark/>
          </w:tcPr>
          <w:p w14:paraId="184A115A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ICAM1</w:t>
            </w:r>
          </w:p>
        </w:tc>
        <w:tc>
          <w:tcPr>
            <w:tcW w:w="1393" w:type="pct"/>
            <w:noWrap/>
            <w:hideMark/>
          </w:tcPr>
          <w:p w14:paraId="6C8868A2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730E" w:rsidRPr="000C6D52" w14:paraId="4458DF17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019879C5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pct"/>
            <w:noWrap/>
            <w:hideMark/>
          </w:tcPr>
          <w:p w14:paraId="51843C5A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IRF1</w:t>
            </w:r>
          </w:p>
        </w:tc>
        <w:tc>
          <w:tcPr>
            <w:tcW w:w="1393" w:type="pct"/>
            <w:noWrap/>
            <w:hideMark/>
          </w:tcPr>
          <w:p w14:paraId="590C34F7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7730E" w:rsidRPr="000C6D52" w14:paraId="01778C48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20735CC2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pct"/>
            <w:noWrap/>
            <w:hideMark/>
          </w:tcPr>
          <w:p w14:paraId="04BA4B6F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</w:p>
        </w:tc>
        <w:tc>
          <w:tcPr>
            <w:tcW w:w="1393" w:type="pct"/>
            <w:noWrap/>
            <w:hideMark/>
          </w:tcPr>
          <w:p w14:paraId="79EC8357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730E" w:rsidRPr="000C6D52" w14:paraId="4AEF7A01" w14:textId="77777777" w:rsidTr="00CF5A02">
        <w:trPr>
          <w:trHeight w:val="276"/>
          <w:jc w:val="center"/>
        </w:trPr>
        <w:tc>
          <w:tcPr>
            <w:tcW w:w="1229" w:type="pct"/>
            <w:tcBorders>
              <w:bottom w:val="nil"/>
            </w:tcBorders>
            <w:noWrap/>
            <w:hideMark/>
          </w:tcPr>
          <w:p w14:paraId="624D5A61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pct"/>
            <w:tcBorders>
              <w:bottom w:val="nil"/>
            </w:tcBorders>
            <w:noWrap/>
            <w:hideMark/>
          </w:tcPr>
          <w:p w14:paraId="4C912C3B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MYD88</w:t>
            </w:r>
          </w:p>
        </w:tc>
        <w:tc>
          <w:tcPr>
            <w:tcW w:w="1393" w:type="pct"/>
            <w:tcBorders>
              <w:bottom w:val="nil"/>
            </w:tcBorders>
            <w:noWrap/>
            <w:hideMark/>
          </w:tcPr>
          <w:p w14:paraId="785AB570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18E4" w:rsidRPr="000C6D52" w14:paraId="42F893D0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nil"/>
              <w:bottom w:val="nil"/>
            </w:tcBorders>
            <w:noWrap/>
            <w:hideMark/>
          </w:tcPr>
          <w:p w14:paraId="60285CFE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pct"/>
            <w:tcBorders>
              <w:top w:val="nil"/>
              <w:bottom w:val="nil"/>
            </w:tcBorders>
            <w:noWrap/>
            <w:hideMark/>
          </w:tcPr>
          <w:p w14:paraId="078453F1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TNFAIP3</w:t>
            </w:r>
          </w:p>
        </w:tc>
        <w:tc>
          <w:tcPr>
            <w:tcW w:w="1393" w:type="pct"/>
            <w:tcBorders>
              <w:top w:val="nil"/>
              <w:bottom w:val="nil"/>
            </w:tcBorders>
            <w:noWrap/>
            <w:hideMark/>
          </w:tcPr>
          <w:p w14:paraId="7A950BF4" w14:textId="77777777" w:rsidR="00E7730E" w:rsidRPr="000C6D52" w:rsidRDefault="00E7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A02" w:rsidRPr="000C6D52" w14:paraId="556E3C99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nil"/>
              <w:bottom w:val="nil"/>
            </w:tcBorders>
            <w:noWrap/>
          </w:tcPr>
          <w:p w14:paraId="554B7C49" w14:textId="31C6A1CF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pct"/>
            <w:tcBorders>
              <w:top w:val="nil"/>
              <w:bottom w:val="nil"/>
            </w:tcBorders>
            <w:noWrap/>
          </w:tcPr>
          <w:p w14:paraId="4BEBE1AC" w14:textId="2C3A44D0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SOCS3</w:t>
            </w:r>
          </w:p>
        </w:tc>
        <w:tc>
          <w:tcPr>
            <w:tcW w:w="1393" w:type="pct"/>
            <w:tcBorders>
              <w:top w:val="nil"/>
              <w:bottom w:val="nil"/>
            </w:tcBorders>
            <w:noWrap/>
          </w:tcPr>
          <w:p w14:paraId="333D6591" w14:textId="526EA565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A02" w:rsidRPr="000C6D52" w14:paraId="51B402D1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nil"/>
              <w:bottom w:val="nil"/>
            </w:tcBorders>
            <w:noWrap/>
          </w:tcPr>
          <w:p w14:paraId="5E67C736" w14:textId="79CBF89E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pct"/>
            <w:tcBorders>
              <w:top w:val="nil"/>
              <w:bottom w:val="nil"/>
            </w:tcBorders>
            <w:noWrap/>
          </w:tcPr>
          <w:p w14:paraId="4E523FD4" w14:textId="210DB8F1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STAT2</w:t>
            </w:r>
          </w:p>
        </w:tc>
        <w:tc>
          <w:tcPr>
            <w:tcW w:w="1393" w:type="pct"/>
            <w:tcBorders>
              <w:top w:val="nil"/>
              <w:bottom w:val="nil"/>
            </w:tcBorders>
            <w:noWrap/>
          </w:tcPr>
          <w:p w14:paraId="4467805B" w14:textId="267CACA0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5A02" w:rsidRPr="000C6D52" w14:paraId="72D9018B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nil"/>
              <w:bottom w:val="single" w:sz="4" w:space="0" w:color="auto"/>
            </w:tcBorders>
            <w:noWrap/>
          </w:tcPr>
          <w:p w14:paraId="039DB5F7" w14:textId="47CA23B3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8" w:type="pct"/>
            <w:tcBorders>
              <w:top w:val="nil"/>
              <w:bottom w:val="single" w:sz="4" w:space="0" w:color="auto"/>
            </w:tcBorders>
            <w:noWrap/>
          </w:tcPr>
          <w:p w14:paraId="545A7150" w14:textId="30C875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MMP2</w:t>
            </w:r>
          </w:p>
        </w:tc>
        <w:tc>
          <w:tcPr>
            <w:tcW w:w="1393" w:type="pct"/>
            <w:tcBorders>
              <w:top w:val="nil"/>
              <w:bottom w:val="single" w:sz="4" w:space="0" w:color="auto"/>
            </w:tcBorders>
            <w:noWrap/>
          </w:tcPr>
          <w:p w14:paraId="2CB9E6D3" w14:textId="154F32EB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5A02" w:rsidRPr="000C6D52" w14:paraId="7B0F1A0D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single" w:sz="4" w:space="0" w:color="auto"/>
              <w:bottom w:val="nil"/>
            </w:tcBorders>
            <w:noWrap/>
          </w:tcPr>
          <w:p w14:paraId="01179A05" w14:textId="41C78191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single" w:sz="4" w:space="0" w:color="auto"/>
              <w:bottom w:val="nil"/>
            </w:tcBorders>
            <w:noWrap/>
          </w:tcPr>
          <w:p w14:paraId="017C5C88" w14:textId="5976E8A2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bottom w:val="nil"/>
            </w:tcBorders>
            <w:noWrap/>
          </w:tcPr>
          <w:p w14:paraId="1AF66F0E" w14:textId="17F73D03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eastAsia="Times New Roman" w:hAnsi="Times New Roman"/>
                <w:i/>
                <w:color w:val="000000"/>
                <w:kern w:val="0"/>
                <w:sz w:val="20"/>
              </w:rPr>
              <w:t>Continued on next page</w:t>
            </w:r>
          </w:p>
        </w:tc>
      </w:tr>
      <w:tr w:rsidR="00CF5A02" w:rsidRPr="000C6D52" w14:paraId="2FAC9971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3B863C" w14:textId="6E11FA3B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Rank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99A09B" w14:textId="42B9A72A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B36167" w14:textId="674EC84D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CF5A02" w:rsidRPr="000C6D52" w14:paraId="3954047A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ED19983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8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9FB215C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GBP1</w:t>
            </w:r>
          </w:p>
        </w:tc>
        <w:tc>
          <w:tcPr>
            <w:tcW w:w="1393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23BC07B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5A02" w:rsidRPr="000C6D52" w14:paraId="3B2FC02C" w14:textId="77777777" w:rsidTr="00CF5A02">
        <w:trPr>
          <w:trHeight w:val="276"/>
          <w:jc w:val="center"/>
        </w:trPr>
        <w:tc>
          <w:tcPr>
            <w:tcW w:w="1229" w:type="pct"/>
            <w:tcBorders>
              <w:top w:val="nil"/>
            </w:tcBorders>
            <w:noWrap/>
            <w:hideMark/>
          </w:tcPr>
          <w:p w14:paraId="673C955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8" w:type="pct"/>
            <w:tcBorders>
              <w:top w:val="nil"/>
            </w:tcBorders>
            <w:noWrap/>
            <w:hideMark/>
          </w:tcPr>
          <w:p w14:paraId="1A39D5FE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IRF2</w:t>
            </w:r>
          </w:p>
        </w:tc>
        <w:tc>
          <w:tcPr>
            <w:tcW w:w="1393" w:type="pct"/>
            <w:tcBorders>
              <w:top w:val="nil"/>
            </w:tcBorders>
            <w:noWrap/>
            <w:hideMark/>
          </w:tcPr>
          <w:p w14:paraId="37D32B4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A02" w:rsidRPr="000C6D52" w14:paraId="7012B79D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31EC241D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8" w:type="pct"/>
            <w:noWrap/>
            <w:hideMark/>
          </w:tcPr>
          <w:p w14:paraId="4B3234FE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CIITA</w:t>
            </w:r>
          </w:p>
        </w:tc>
        <w:tc>
          <w:tcPr>
            <w:tcW w:w="1393" w:type="pct"/>
            <w:noWrap/>
            <w:hideMark/>
          </w:tcPr>
          <w:p w14:paraId="6027C08C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A02" w:rsidRPr="000C6D52" w14:paraId="61FBC3C9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91AEC7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8" w:type="pct"/>
            <w:noWrap/>
            <w:hideMark/>
          </w:tcPr>
          <w:p w14:paraId="38ED3577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SELL</w:t>
            </w:r>
          </w:p>
        </w:tc>
        <w:tc>
          <w:tcPr>
            <w:tcW w:w="1393" w:type="pct"/>
            <w:noWrap/>
            <w:hideMark/>
          </w:tcPr>
          <w:p w14:paraId="7F28F99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5A02" w:rsidRPr="000C6D52" w14:paraId="52D2EEFD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292DD33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8" w:type="pct"/>
            <w:noWrap/>
            <w:hideMark/>
          </w:tcPr>
          <w:p w14:paraId="273CA593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SOD2</w:t>
            </w:r>
          </w:p>
        </w:tc>
        <w:tc>
          <w:tcPr>
            <w:tcW w:w="1393" w:type="pct"/>
            <w:noWrap/>
            <w:hideMark/>
          </w:tcPr>
          <w:p w14:paraId="5CA8CD2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5A02" w:rsidRPr="000C6D52" w14:paraId="0906663C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012744FE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pct"/>
            <w:noWrap/>
            <w:hideMark/>
          </w:tcPr>
          <w:p w14:paraId="5A8E7906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TRIM14</w:t>
            </w:r>
          </w:p>
        </w:tc>
        <w:tc>
          <w:tcPr>
            <w:tcW w:w="1393" w:type="pct"/>
            <w:noWrap/>
            <w:hideMark/>
          </w:tcPr>
          <w:p w14:paraId="26C5B03A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A02" w:rsidRPr="000C6D52" w14:paraId="1E4A3414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558CB202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pct"/>
            <w:noWrap/>
            <w:hideMark/>
          </w:tcPr>
          <w:p w14:paraId="1195E8F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CCL19</w:t>
            </w:r>
          </w:p>
        </w:tc>
        <w:tc>
          <w:tcPr>
            <w:tcW w:w="1393" w:type="pct"/>
            <w:noWrap/>
            <w:hideMark/>
          </w:tcPr>
          <w:p w14:paraId="3F18323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A02" w:rsidRPr="000C6D52" w14:paraId="40ABE8C2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FBCB889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pct"/>
            <w:noWrap/>
            <w:hideMark/>
          </w:tcPr>
          <w:p w14:paraId="26002E5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PARP9</w:t>
            </w:r>
          </w:p>
        </w:tc>
        <w:tc>
          <w:tcPr>
            <w:tcW w:w="1393" w:type="pct"/>
            <w:noWrap/>
            <w:hideMark/>
          </w:tcPr>
          <w:p w14:paraId="6FFFBABD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A02" w:rsidRPr="000C6D52" w14:paraId="33D72197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E0D3D4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8" w:type="pct"/>
            <w:noWrap/>
            <w:hideMark/>
          </w:tcPr>
          <w:p w14:paraId="7CF5C993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IFNGR2</w:t>
            </w:r>
          </w:p>
        </w:tc>
        <w:tc>
          <w:tcPr>
            <w:tcW w:w="1393" w:type="pct"/>
            <w:noWrap/>
            <w:hideMark/>
          </w:tcPr>
          <w:p w14:paraId="7C431059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A02" w:rsidRPr="000C6D52" w14:paraId="3EF0AD65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5F30700D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8" w:type="pct"/>
            <w:noWrap/>
            <w:hideMark/>
          </w:tcPr>
          <w:p w14:paraId="60478687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BCL3</w:t>
            </w:r>
          </w:p>
        </w:tc>
        <w:tc>
          <w:tcPr>
            <w:tcW w:w="1393" w:type="pct"/>
            <w:noWrap/>
            <w:hideMark/>
          </w:tcPr>
          <w:p w14:paraId="3300C0C9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A02" w:rsidRPr="000C6D52" w14:paraId="109B06DB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3238D562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8" w:type="pct"/>
            <w:noWrap/>
            <w:hideMark/>
          </w:tcPr>
          <w:p w14:paraId="495ED456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PARP14</w:t>
            </w:r>
          </w:p>
        </w:tc>
        <w:tc>
          <w:tcPr>
            <w:tcW w:w="1393" w:type="pct"/>
            <w:noWrap/>
            <w:hideMark/>
          </w:tcPr>
          <w:p w14:paraId="5604C8D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A02" w:rsidRPr="000C6D52" w14:paraId="785F4FB6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2662ABFE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8" w:type="pct"/>
            <w:noWrap/>
            <w:hideMark/>
          </w:tcPr>
          <w:p w14:paraId="326CFE19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</w:tc>
        <w:tc>
          <w:tcPr>
            <w:tcW w:w="1393" w:type="pct"/>
            <w:noWrap/>
            <w:hideMark/>
          </w:tcPr>
          <w:p w14:paraId="1A5CE238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A02" w:rsidRPr="000C6D52" w14:paraId="49506F22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7B82035B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pct"/>
            <w:noWrap/>
            <w:hideMark/>
          </w:tcPr>
          <w:p w14:paraId="45C7BF3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ANXA2</w:t>
            </w:r>
          </w:p>
        </w:tc>
        <w:tc>
          <w:tcPr>
            <w:tcW w:w="1393" w:type="pct"/>
            <w:noWrap/>
            <w:hideMark/>
          </w:tcPr>
          <w:p w14:paraId="1AFF258E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A02" w:rsidRPr="000C6D52" w14:paraId="703975E3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2DC44E2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pct"/>
            <w:noWrap/>
            <w:hideMark/>
          </w:tcPr>
          <w:p w14:paraId="5EF82AF4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1393" w:type="pct"/>
            <w:noWrap/>
            <w:hideMark/>
          </w:tcPr>
          <w:p w14:paraId="7194B039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A02" w:rsidRPr="000C6D52" w14:paraId="3B837217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676C76FB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pct"/>
            <w:noWrap/>
            <w:hideMark/>
          </w:tcPr>
          <w:p w14:paraId="471D5C37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SAMD9L</w:t>
            </w:r>
          </w:p>
        </w:tc>
        <w:tc>
          <w:tcPr>
            <w:tcW w:w="1393" w:type="pct"/>
            <w:noWrap/>
            <w:hideMark/>
          </w:tcPr>
          <w:p w14:paraId="4C678C7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A02" w:rsidRPr="000C6D52" w14:paraId="0EAB44AA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3CBCA82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pct"/>
            <w:noWrap/>
            <w:hideMark/>
          </w:tcPr>
          <w:p w14:paraId="2C8CE60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HELZ2</w:t>
            </w:r>
          </w:p>
        </w:tc>
        <w:tc>
          <w:tcPr>
            <w:tcW w:w="1393" w:type="pct"/>
            <w:noWrap/>
            <w:hideMark/>
          </w:tcPr>
          <w:p w14:paraId="34612A94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A02" w:rsidRPr="000C6D52" w14:paraId="58313CE3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5B75D984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8" w:type="pct"/>
            <w:noWrap/>
            <w:hideMark/>
          </w:tcPr>
          <w:p w14:paraId="532679CA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MAP3K14</w:t>
            </w:r>
          </w:p>
        </w:tc>
        <w:tc>
          <w:tcPr>
            <w:tcW w:w="1393" w:type="pct"/>
            <w:noWrap/>
            <w:hideMark/>
          </w:tcPr>
          <w:p w14:paraId="061B164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A02" w:rsidRPr="000C6D52" w14:paraId="41D1781E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73F9ADAC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78" w:type="pct"/>
            <w:noWrap/>
            <w:hideMark/>
          </w:tcPr>
          <w:p w14:paraId="4C889E3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IGFBP3</w:t>
            </w:r>
          </w:p>
        </w:tc>
        <w:tc>
          <w:tcPr>
            <w:tcW w:w="1393" w:type="pct"/>
            <w:noWrap/>
            <w:hideMark/>
          </w:tcPr>
          <w:p w14:paraId="30297746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A02" w:rsidRPr="000C6D52" w14:paraId="0820E041" w14:textId="77777777" w:rsidTr="000C6D52">
        <w:trPr>
          <w:trHeight w:val="276"/>
          <w:jc w:val="center"/>
        </w:trPr>
        <w:tc>
          <w:tcPr>
            <w:tcW w:w="1229" w:type="pct"/>
            <w:noWrap/>
            <w:hideMark/>
          </w:tcPr>
          <w:p w14:paraId="1BF9FFE0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78" w:type="pct"/>
            <w:noWrap/>
            <w:hideMark/>
          </w:tcPr>
          <w:p w14:paraId="60D9FA35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XCL1</w:t>
            </w:r>
          </w:p>
        </w:tc>
        <w:tc>
          <w:tcPr>
            <w:tcW w:w="1393" w:type="pct"/>
            <w:noWrap/>
            <w:hideMark/>
          </w:tcPr>
          <w:p w14:paraId="2560A82F" w14:textId="77777777" w:rsidR="00CF5A02" w:rsidRPr="000C6D52" w:rsidRDefault="00CF5A02" w:rsidP="00CF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FA012F" w14:textId="38D56380" w:rsidR="00E7730E" w:rsidRPr="003A0B31" w:rsidRDefault="00E7730E" w:rsidP="003A0B31">
      <w:pPr>
        <w:spacing w:beforeLines="100" w:before="312" w:afterLines="50" w:after="156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5536823"/>
      <w:r w:rsidRPr="00341BF4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3A0B3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341BF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Meta-analysis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10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core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interferon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response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genes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prognostic</w:t>
      </w:r>
      <w:r w:rsidRPr="003A0B31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value.</w:t>
      </w:r>
      <w:bookmarkEnd w:id="2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418"/>
        <w:gridCol w:w="588"/>
        <w:gridCol w:w="1113"/>
        <w:gridCol w:w="1329"/>
        <w:gridCol w:w="2004"/>
      </w:tblGrid>
      <w:tr w:rsidR="00787250" w:rsidRPr="00787250" w14:paraId="01AA1BB9" w14:textId="77777777" w:rsidTr="00E108EA">
        <w:trPr>
          <w:trHeight w:hRule="exact" w:val="478"/>
          <w:jc w:val="center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28BBF8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GENE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C015A0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DATASET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0A70C5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CANCER 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9500A5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ENDPOINT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4693EF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N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A5F11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CUTPOINT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1E10B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COX P-VALUE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72FEEA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HR [95% CI-low CI-</w:t>
            </w:r>
            <w:proofErr w:type="spellStart"/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upp</w:t>
            </w:r>
            <w:proofErr w:type="spellEnd"/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]</w:t>
            </w:r>
          </w:p>
        </w:tc>
      </w:tr>
      <w:tr w:rsidR="00787250" w:rsidRPr="00787250" w14:paraId="6623636A" w14:textId="77777777" w:rsidTr="00E108EA">
        <w:trPr>
          <w:trHeight w:hRule="exact" w:val="397"/>
          <w:jc w:val="center"/>
        </w:trPr>
        <w:tc>
          <w:tcPr>
            <w:tcW w:w="9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F62AF9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CD44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DB7715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GSE4412-GPL97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746A4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1DCCD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47D335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7E6B3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0.824324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E3604B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0.000315634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F1CBC6" w14:textId="11AF13D3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2.14 [1.41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3.23]</w:t>
            </w:r>
          </w:p>
        </w:tc>
      </w:tr>
      <w:tr w:rsidR="00787250" w:rsidRPr="00787250" w14:paraId="23B60F9F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76A9B657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MYD88</w:t>
            </w:r>
          </w:p>
        </w:tc>
        <w:tc>
          <w:tcPr>
            <w:tcW w:w="1276" w:type="dxa"/>
            <w:noWrap/>
            <w:vAlign w:val="center"/>
            <w:hideMark/>
          </w:tcPr>
          <w:p w14:paraId="67C529D4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MGH-glioma</w:t>
            </w:r>
          </w:p>
        </w:tc>
        <w:tc>
          <w:tcPr>
            <w:tcW w:w="1275" w:type="dxa"/>
            <w:noWrap/>
            <w:vAlign w:val="center"/>
            <w:hideMark/>
          </w:tcPr>
          <w:p w14:paraId="11E29E88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3DE88C3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1D5703E7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3" w:type="dxa"/>
            <w:noWrap/>
            <w:vAlign w:val="center"/>
            <w:hideMark/>
          </w:tcPr>
          <w:p w14:paraId="2E3D6F10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0.72</w:t>
            </w:r>
          </w:p>
        </w:tc>
        <w:tc>
          <w:tcPr>
            <w:tcW w:w="1329" w:type="dxa"/>
            <w:noWrap/>
            <w:vAlign w:val="center"/>
            <w:hideMark/>
          </w:tcPr>
          <w:p w14:paraId="05DA90DB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0.0123751</w:t>
            </w:r>
          </w:p>
        </w:tc>
        <w:tc>
          <w:tcPr>
            <w:tcW w:w="2004" w:type="dxa"/>
            <w:noWrap/>
            <w:vAlign w:val="center"/>
            <w:hideMark/>
          </w:tcPr>
          <w:p w14:paraId="2CF3E572" w14:textId="372F975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1.74 [1.13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2.68]</w:t>
            </w:r>
          </w:p>
        </w:tc>
      </w:tr>
      <w:tr w:rsidR="00787250" w:rsidRPr="00787250" w14:paraId="35281AB1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1A820C00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STAT2</w:t>
            </w:r>
          </w:p>
        </w:tc>
        <w:tc>
          <w:tcPr>
            <w:tcW w:w="1276" w:type="dxa"/>
            <w:noWrap/>
            <w:vAlign w:val="center"/>
            <w:hideMark/>
          </w:tcPr>
          <w:p w14:paraId="0A13092F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MGH-glioma</w:t>
            </w:r>
          </w:p>
        </w:tc>
        <w:tc>
          <w:tcPr>
            <w:tcW w:w="1275" w:type="dxa"/>
            <w:noWrap/>
            <w:vAlign w:val="center"/>
            <w:hideMark/>
          </w:tcPr>
          <w:p w14:paraId="175417D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102406DA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512787F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3" w:type="dxa"/>
            <w:noWrap/>
            <w:vAlign w:val="center"/>
            <w:hideMark/>
          </w:tcPr>
          <w:p w14:paraId="74975C4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0.88</w:t>
            </w:r>
          </w:p>
        </w:tc>
        <w:tc>
          <w:tcPr>
            <w:tcW w:w="1329" w:type="dxa"/>
            <w:noWrap/>
            <w:vAlign w:val="center"/>
            <w:hideMark/>
          </w:tcPr>
          <w:p w14:paraId="6DBCECC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0.0178092</w:t>
            </w:r>
          </w:p>
        </w:tc>
        <w:tc>
          <w:tcPr>
            <w:tcW w:w="2004" w:type="dxa"/>
            <w:noWrap/>
            <w:vAlign w:val="center"/>
            <w:hideMark/>
          </w:tcPr>
          <w:p w14:paraId="03D59E57" w14:textId="7498D34F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7.49 [1.42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39.59]</w:t>
            </w:r>
          </w:p>
        </w:tc>
      </w:tr>
      <w:tr w:rsidR="00787250" w:rsidRPr="00787250" w14:paraId="460978AF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5E94BCC9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TNFAIP3</w:t>
            </w:r>
          </w:p>
        </w:tc>
        <w:tc>
          <w:tcPr>
            <w:tcW w:w="1276" w:type="dxa"/>
            <w:noWrap/>
            <w:vAlign w:val="center"/>
            <w:hideMark/>
          </w:tcPr>
          <w:p w14:paraId="0B1B459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MGH-glioma</w:t>
            </w:r>
          </w:p>
        </w:tc>
        <w:tc>
          <w:tcPr>
            <w:tcW w:w="1275" w:type="dxa"/>
            <w:noWrap/>
            <w:vAlign w:val="center"/>
            <w:hideMark/>
          </w:tcPr>
          <w:p w14:paraId="304A3C4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2AF82C84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0DD095E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3" w:type="dxa"/>
            <w:noWrap/>
            <w:vAlign w:val="center"/>
            <w:hideMark/>
          </w:tcPr>
          <w:p w14:paraId="16147400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0.7</w:t>
            </w:r>
          </w:p>
        </w:tc>
        <w:tc>
          <w:tcPr>
            <w:tcW w:w="1329" w:type="dxa"/>
            <w:noWrap/>
            <w:vAlign w:val="center"/>
            <w:hideMark/>
          </w:tcPr>
          <w:p w14:paraId="29B2E1B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0.0183943</w:t>
            </w:r>
          </w:p>
        </w:tc>
        <w:tc>
          <w:tcPr>
            <w:tcW w:w="2004" w:type="dxa"/>
            <w:noWrap/>
            <w:vAlign w:val="center"/>
            <w:hideMark/>
          </w:tcPr>
          <w:p w14:paraId="4E8B0346" w14:textId="4E7E98CA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1.52 [1.07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2.16]</w:t>
            </w:r>
          </w:p>
        </w:tc>
      </w:tr>
      <w:tr w:rsidR="00787250" w:rsidRPr="00787250" w14:paraId="4D82D930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7467ACC2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SOCS3</w:t>
            </w:r>
          </w:p>
        </w:tc>
        <w:tc>
          <w:tcPr>
            <w:tcW w:w="1276" w:type="dxa"/>
            <w:noWrap/>
            <w:vAlign w:val="center"/>
            <w:hideMark/>
          </w:tcPr>
          <w:p w14:paraId="485B90DA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GSE4412-GPL97</w:t>
            </w:r>
          </w:p>
        </w:tc>
        <w:tc>
          <w:tcPr>
            <w:tcW w:w="1275" w:type="dxa"/>
            <w:noWrap/>
            <w:vAlign w:val="center"/>
            <w:hideMark/>
          </w:tcPr>
          <w:p w14:paraId="7BD0D72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15DA085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687E0B07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3" w:type="dxa"/>
            <w:noWrap/>
            <w:vAlign w:val="center"/>
            <w:hideMark/>
          </w:tcPr>
          <w:p w14:paraId="4679F232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0.189189</w:t>
            </w:r>
          </w:p>
        </w:tc>
        <w:tc>
          <w:tcPr>
            <w:tcW w:w="1329" w:type="dxa"/>
            <w:noWrap/>
            <w:vAlign w:val="center"/>
            <w:hideMark/>
          </w:tcPr>
          <w:p w14:paraId="4F4D3C28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0.0228091</w:t>
            </w:r>
          </w:p>
        </w:tc>
        <w:tc>
          <w:tcPr>
            <w:tcW w:w="2004" w:type="dxa"/>
            <w:noWrap/>
            <w:vAlign w:val="center"/>
            <w:hideMark/>
          </w:tcPr>
          <w:p w14:paraId="6109BC1F" w14:textId="79F04A6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1.26 [1.03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1.54]</w:t>
            </w:r>
          </w:p>
        </w:tc>
      </w:tr>
      <w:tr w:rsidR="00787250" w:rsidRPr="00787250" w14:paraId="4AE183A3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2FD2DDC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NFKB1</w:t>
            </w:r>
          </w:p>
        </w:tc>
        <w:tc>
          <w:tcPr>
            <w:tcW w:w="1276" w:type="dxa"/>
            <w:noWrap/>
            <w:vAlign w:val="center"/>
            <w:hideMark/>
          </w:tcPr>
          <w:p w14:paraId="4793F9B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MGH-glioma</w:t>
            </w:r>
          </w:p>
        </w:tc>
        <w:tc>
          <w:tcPr>
            <w:tcW w:w="1275" w:type="dxa"/>
            <w:noWrap/>
            <w:vAlign w:val="center"/>
            <w:hideMark/>
          </w:tcPr>
          <w:p w14:paraId="12E0693B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4631BE4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7D5E367B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3" w:type="dxa"/>
            <w:noWrap/>
            <w:vAlign w:val="center"/>
            <w:hideMark/>
          </w:tcPr>
          <w:p w14:paraId="225D1AD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0.84</w:t>
            </w:r>
          </w:p>
        </w:tc>
        <w:tc>
          <w:tcPr>
            <w:tcW w:w="1329" w:type="dxa"/>
            <w:noWrap/>
            <w:vAlign w:val="center"/>
            <w:hideMark/>
          </w:tcPr>
          <w:p w14:paraId="68DADA28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0.0334134</w:t>
            </w:r>
          </w:p>
        </w:tc>
        <w:tc>
          <w:tcPr>
            <w:tcW w:w="2004" w:type="dxa"/>
            <w:noWrap/>
            <w:vAlign w:val="center"/>
            <w:hideMark/>
          </w:tcPr>
          <w:p w14:paraId="2EF011A4" w14:textId="081C687B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3.54 [1.10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11.32]</w:t>
            </w:r>
          </w:p>
        </w:tc>
      </w:tr>
      <w:tr w:rsidR="00787250" w:rsidRPr="00787250" w14:paraId="696D49C4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4883F3D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STAT3</w:t>
            </w:r>
          </w:p>
        </w:tc>
        <w:tc>
          <w:tcPr>
            <w:tcW w:w="1276" w:type="dxa"/>
            <w:noWrap/>
            <w:vAlign w:val="center"/>
            <w:hideMark/>
          </w:tcPr>
          <w:p w14:paraId="092F0B2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GSE4412-GPL97</w:t>
            </w:r>
          </w:p>
        </w:tc>
        <w:tc>
          <w:tcPr>
            <w:tcW w:w="1275" w:type="dxa"/>
            <w:noWrap/>
            <w:vAlign w:val="center"/>
            <w:hideMark/>
          </w:tcPr>
          <w:p w14:paraId="6CCA9A0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3384ACE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03E90A9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3" w:type="dxa"/>
            <w:noWrap/>
            <w:vAlign w:val="center"/>
            <w:hideMark/>
          </w:tcPr>
          <w:p w14:paraId="1E47BD9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0.418919</w:t>
            </w:r>
          </w:p>
        </w:tc>
        <w:tc>
          <w:tcPr>
            <w:tcW w:w="1329" w:type="dxa"/>
            <w:noWrap/>
            <w:vAlign w:val="center"/>
            <w:hideMark/>
          </w:tcPr>
          <w:p w14:paraId="4141EE7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0.0668225</w:t>
            </w:r>
          </w:p>
        </w:tc>
        <w:tc>
          <w:tcPr>
            <w:tcW w:w="2004" w:type="dxa"/>
            <w:noWrap/>
            <w:vAlign w:val="center"/>
            <w:hideMark/>
          </w:tcPr>
          <w:p w14:paraId="19659762" w14:textId="01E32B53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2.37 [0.94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5.97]</w:t>
            </w:r>
          </w:p>
        </w:tc>
      </w:tr>
      <w:tr w:rsidR="00787250" w:rsidRPr="00787250" w14:paraId="0D1E1E9C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20B3C2C4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ICAM1</w:t>
            </w:r>
          </w:p>
        </w:tc>
        <w:tc>
          <w:tcPr>
            <w:tcW w:w="1276" w:type="dxa"/>
            <w:noWrap/>
            <w:vAlign w:val="center"/>
            <w:hideMark/>
          </w:tcPr>
          <w:p w14:paraId="2B43958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GSE4412-GPL96</w:t>
            </w:r>
          </w:p>
        </w:tc>
        <w:tc>
          <w:tcPr>
            <w:tcW w:w="1275" w:type="dxa"/>
            <w:noWrap/>
            <w:vAlign w:val="center"/>
            <w:hideMark/>
          </w:tcPr>
          <w:p w14:paraId="5ACBF19F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5D01469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14FDE2E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3" w:type="dxa"/>
            <w:noWrap/>
            <w:vAlign w:val="center"/>
            <w:hideMark/>
          </w:tcPr>
          <w:p w14:paraId="6AF7704B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0.391892</w:t>
            </w:r>
          </w:p>
        </w:tc>
        <w:tc>
          <w:tcPr>
            <w:tcW w:w="1329" w:type="dxa"/>
            <w:noWrap/>
            <w:vAlign w:val="center"/>
            <w:hideMark/>
          </w:tcPr>
          <w:p w14:paraId="319BD10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0.0699967</w:t>
            </w:r>
          </w:p>
        </w:tc>
        <w:tc>
          <w:tcPr>
            <w:tcW w:w="2004" w:type="dxa"/>
            <w:noWrap/>
            <w:vAlign w:val="center"/>
            <w:hideMark/>
          </w:tcPr>
          <w:p w14:paraId="41AFB777" w14:textId="73136900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1.66 [0.96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2.88]</w:t>
            </w:r>
          </w:p>
        </w:tc>
      </w:tr>
      <w:tr w:rsidR="00787250" w:rsidRPr="00787250" w14:paraId="7208AAED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5788F9FF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CCL2</w:t>
            </w:r>
          </w:p>
        </w:tc>
        <w:tc>
          <w:tcPr>
            <w:tcW w:w="1276" w:type="dxa"/>
            <w:noWrap/>
            <w:vAlign w:val="center"/>
            <w:hideMark/>
          </w:tcPr>
          <w:p w14:paraId="3CEB95BC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MGH-glioma</w:t>
            </w:r>
          </w:p>
        </w:tc>
        <w:tc>
          <w:tcPr>
            <w:tcW w:w="1275" w:type="dxa"/>
            <w:noWrap/>
            <w:vAlign w:val="center"/>
            <w:hideMark/>
          </w:tcPr>
          <w:p w14:paraId="34DC2EEE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7E012DEF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0E4C22F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3" w:type="dxa"/>
            <w:noWrap/>
            <w:vAlign w:val="center"/>
            <w:hideMark/>
          </w:tcPr>
          <w:p w14:paraId="19E6EC73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1329" w:type="dxa"/>
            <w:noWrap/>
            <w:vAlign w:val="center"/>
            <w:hideMark/>
          </w:tcPr>
          <w:p w14:paraId="4B09B585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0.176027</w:t>
            </w:r>
          </w:p>
        </w:tc>
        <w:tc>
          <w:tcPr>
            <w:tcW w:w="2004" w:type="dxa"/>
            <w:noWrap/>
            <w:vAlign w:val="center"/>
            <w:hideMark/>
          </w:tcPr>
          <w:p w14:paraId="4E857C91" w14:textId="5FEF3DE4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1.12 [0.95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1.31]</w:t>
            </w:r>
          </w:p>
        </w:tc>
      </w:tr>
      <w:tr w:rsidR="00787250" w:rsidRPr="00787250" w14:paraId="724F6889" w14:textId="77777777" w:rsidTr="00E108EA">
        <w:trPr>
          <w:trHeight w:hRule="exact" w:val="397"/>
          <w:jc w:val="center"/>
        </w:trPr>
        <w:tc>
          <w:tcPr>
            <w:tcW w:w="959" w:type="dxa"/>
            <w:noWrap/>
            <w:vAlign w:val="center"/>
            <w:hideMark/>
          </w:tcPr>
          <w:p w14:paraId="519247A6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IRF1</w:t>
            </w:r>
          </w:p>
        </w:tc>
        <w:tc>
          <w:tcPr>
            <w:tcW w:w="1276" w:type="dxa"/>
            <w:noWrap/>
            <w:vAlign w:val="center"/>
            <w:hideMark/>
          </w:tcPr>
          <w:p w14:paraId="73D38764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GSE4412-GPL96</w:t>
            </w:r>
          </w:p>
        </w:tc>
        <w:tc>
          <w:tcPr>
            <w:tcW w:w="1275" w:type="dxa"/>
            <w:noWrap/>
            <w:vAlign w:val="center"/>
            <w:hideMark/>
          </w:tcPr>
          <w:p w14:paraId="14FDEA3D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Glioma</w:t>
            </w:r>
          </w:p>
        </w:tc>
        <w:tc>
          <w:tcPr>
            <w:tcW w:w="1418" w:type="dxa"/>
            <w:noWrap/>
            <w:vAlign w:val="center"/>
            <w:hideMark/>
          </w:tcPr>
          <w:p w14:paraId="6C0FD0A4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Overall Survival</w:t>
            </w:r>
          </w:p>
        </w:tc>
        <w:tc>
          <w:tcPr>
            <w:tcW w:w="588" w:type="dxa"/>
            <w:noWrap/>
            <w:vAlign w:val="center"/>
            <w:hideMark/>
          </w:tcPr>
          <w:p w14:paraId="35C42368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3" w:type="dxa"/>
            <w:noWrap/>
            <w:vAlign w:val="center"/>
            <w:hideMark/>
          </w:tcPr>
          <w:p w14:paraId="408F2220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0.459459</w:t>
            </w:r>
          </w:p>
        </w:tc>
        <w:tc>
          <w:tcPr>
            <w:tcW w:w="1329" w:type="dxa"/>
            <w:noWrap/>
            <w:vAlign w:val="center"/>
            <w:hideMark/>
          </w:tcPr>
          <w:p w14:paraId="4E1CFB31" w14:textId="77777777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0.302895</w:t>
            </w:r>
          </w:p>
        </w:tc>
        <w:tc>
          <w:tcPr>
            <w:tcW w:w="2004" w:type="dxa"/>
            <w:noWrap/>
            <w:vAlign w:val="center"/>
            <w:hideMark/>
          </w:tcPr>
          <w:p w14:paraId="48DD7146" w14:textId="702DB730" w:rsidR="00A94F33" w:rsidRPr="00787250" w:rsidRDefault="00A94F33" w:rsidP="00E101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1.42 [0.73</w:t>
            </w:r>
            <w:r w:rsidR="004F78D2"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–</w:t>
            </w:r>
            <w:r w:rsidRPr="00787250">
              <w:rPr>
                <w:rFonts w:ascii="Times New Roman" w:hAnsi="Times New Roman" w:cs="Times New Roman"/>
                <w:kern w:val="0"/>
                <w:sz w:val="15"/>
                <w:szCs w:val="15"/>
              </w:rPr>
              <w:t>2.79]</w:t>
            </w:r>
          </w:p>
        </w:tc>
      </w:tr>
    </w:tbl>
    <w:p w14:paraId="63520C2C" w14:textId="2CCD3283" w:rsidR="00FA0DCF" w:rsidRPr="00E7730E" w:rsidRDefault="00585AD9" w:rsidP="00AE674A">
      <w:pPr>
        <w:spacing w:beforeLines="100" w:before="312" w:afterLines="100" w:after="312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30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F2148B2" wp14:editId="1494E6E5">
            <wp:extent cx="4249910" cy="516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7352" cy="517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89C7" w14:textId="7DB5BB6D" w:rsidR="00585AD9" w:rsidRPr="00E7730E" w:rsidRDefault="00585AD9" w:rsidP="00585AD9">
      <w:pPr>
        <w:spacing w:beforeLines="100" w:before="312" w:afterLines="50" w:after="156" w:line="300" w:lineRule="atLeast"/>
        <w:ind w:left="567" w:right="567"/>
        <w:rPr>
          <w:rFonts w:ascii="Times New Roman" w:hAnsi="Times New Roman" w:cs="Times New Roman"/>
          <w:b/>
          <w:sz w:val="32"/>
          <w:szCs w:val="32"/>
        </w:rPr>
      </w:pPr>
      <w:bookmarkStart w:id="3" w:name="_Hlk105536809"/>
      <w:r w:rsidRPr="00341BF4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E7730E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341BF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Validation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model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patients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CGGA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cohort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2.</w:t>
      </w:r>
      <w:bookmarkEnd w:id="3"/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(A)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Heatmap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3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signatures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expression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among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higher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lower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subgroups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together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with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clinicopathological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features.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Higher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group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had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relative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higher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expression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i/>
          <w:iCs/>
          <w:sz w:val="24"/>
          <w:szCs w:val="24"/>
        </w:rPr>
        <w:t>STAT2</w:t>
      </w:r>
      <w:r w:rsidRPr="00341BF4">
        <w:rPr>
          <w:rFonts w:ascii="Times New Roman" w:hAnsi="Times New Roman" w:cs="Times New Roman"/>
          <w:sz w:val="24"/>
          <w:szCs w:val="24"/>
        </w:rPr>
        <w:t>,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i/>
          <w:iCs/>
          <w:sz w:val="24"/>
          <w:szCs w:val="24"/>
        </w:rPr>
        <w:t>STAT3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i/>
          <w:iCs/>
          <w:sz w:val="24"/>
          <w:szCs w:val="24"/>
        </w:rPr>
        <w:t>SOCS3</w:t>
      </w:r>
      <w:r w:rsidRPr="00341BF4">
        <w:rPr>
          <w:rFonts w:ascii="Times New Roman" w:hAnsi="Times New Roman" w:cs="Times New Roman"/>
          <w:sz w:val="24"/>
          <w:szCs w:val="24"/>
        </w:rPr>
        <w:t>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(B)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distribution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together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with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survival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status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patients.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(C)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Survival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analysis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patients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higher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lower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subgroups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based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Higher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group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confronted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poor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prognosis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than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lower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one.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Uni-variate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(D)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multi-variate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(E)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Cox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regression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analysis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of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association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between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score,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clinicopathological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features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patient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revealed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was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independent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factor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patient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survival.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(F)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ROC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curves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presented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predictive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efficiency.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(G)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Multi-indicator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ROC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curves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score,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age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and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IDH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state.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Risk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score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was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a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better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predictor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than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others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for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GBM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341BF4">
        <w:rPr>
          <w:rFonts w:ascii="Times New Roman" w:hAnsi="Times New Roman" w:cs="Times New Roman"/>
          <w:sz w:val="24"/>
          <w:szCs w:val="24"/>
        </w:rPr>
        <w:t>survival.</w:t>
      </w:r>
    </w:p>
    <w:p w14:paraId="0608DA53" w14:textId="5B6EDB53" w:rsidR="003158CE" w:rsidRPr="00E7730E" w:rsidRDefault="003158CE" w:rsidP="003158CE">
      <w:pPr>
        <w:spacing w:beforeLines="100" w:before="312" w:line="300" w:lineRule="atLeast"/>
        <w:ind w:left="328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73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A5AF34B" wp14:editId="2E343B65">
            <wp:simplePos x="0" y="0"/>
            <wp:positionH relativeFrom="column">
              <wp:posOffset>42386</wp:posOffset>
            </wp:positionH>
            <wp:positionV relativeFrom="paragraph">
              <wp:posOffset>58420</wp:posOffset>
            </wp:positionV>
            <wp:extent cx="1774032" cy="500063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work\aims_logo'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32" cy="50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730E">
        <w:rPr>
          <w:rFonts w:ascii="Times New Roman" w:hAnsi="Times New Roman" w:cs="Times New Roman"/>
          <w:sz w:val="24"/>
          <w:szCs w:val="24"/>
        </w:rPr>
        <w:t>© 202</w:t>
      </w:r>
      <w:r w:rsidR="00ED0177" w:rsidRPr="00E7730E">
        <w:rPr>
          <w:rFonts w:ascii="Times New Roman" w:hAnsi="Times New Roman" w:cs="Times New Roman"/>
          <w:sz w:val="24"/>
          <w:szCs w:val="24"/>
        </w:rPr>
        <w:t>2</w:t>
      </w:r>
      <w:r w:rsidRPr="00E7730E">
        <w:rPr>
          <w:rFonts w:ascii="Times New Roman" w:hAnsi="Times New Roman" w:cs="Times New Roman"/>
          <w:sz w:val="24"/>
          <w:szCs w:val="24"/>
        </w:rPr>
        <w:t xml:space="preserve"> </w:t>
      </w:r>
      <w:r w:rsidRPr="00E7730E">
        <w:rPr>
          <w:rFonts w:ascii="Times New Roman" w:hAnsi="Times New Roman" w:cs="Times New Roman"/>
          <w:color w:val="000000" w:themeColor="text1"/>
          <w:sz w:val="24"/>
          <w:szCs w:val="24"/>
        </w:rPr>
        <w:t>the Author(s),</w:t>
      </w:r>
      <w:r w:rsidRPr="00E7730E">
        <w:rPr>
          <w:rFonts w:ascii="Times New Roman" w:hAnsi="Times New Roman" w:cs="Times New Roman"/>
          <w:sz w:val="24"/>
          <w:szCs w:val="24"/>
        </w:rPr>
        <w:t xml:space="preserve"> licensee AIMS Press. This is an open access article distributed under the terms of the Creative Commons Attribution License (http://creativecommons.org/licenses/by/4.0)</w:t>
      </w:r>
    </w:p>
    <w:sectPr w:rsidR="003158CE" w:rsidRPr="00E7730E" w:rsidSect="005018E4">
      <w:headerReference w:type="default" r:id="rId21"/>
      <w:footerReference w:type="default" r:id="rId22"/>
      <w:pgSz w:w="11906" w:h="16838" w:code="9"/>
      <w:pgMar w:top="1440" w:right="1077" w:bottom="1440" w:left="1083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6797" w14:textId="77777777" w:rsidR="00CF039C" w:rsidRDefault="00CF039C" w:rsidP="00CE6C8B">
      <w:r>
        <w:separator/>
      </w:r>
    </w:p>
  </w:endnote>
  <w:endnote w:type="continuationSeparator" w:id="0">
    <w:p w14:paraId="51F5B050" w14:textId="77777777" w:rsidR="00CF039C" w:rsidRDefault="00CF039C" w:rsidP="00CE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2888" w14:textId="3F744410" w:rsidR="00CE6C8B" w:rsidRDefault="00CE6C8B">
    <w:pPr>
      <w:pStyle w:val="a5"/>
    </w:pPr>
  </w:p>
  <w:p w14:paraId="4BF7B1D5" w14:textId="28F017D2" w:rsidR="00CE6C8B" w:rsidRPr="00CE6C8B" w:rsidRDefault="00CE6C8B" w:rsidP="00CE6C8B">
    <w:pPr>
      <w:tabs>
        <w:tab w:val="center" w:pos="4153"/>
        <w:tab w:val="right" w:pos="9781"/>
      </w:tabs>
      <w:snapToGrid w:val="0"/>
      <w:rPr>
        <w:rFonts w:ascii="Times New Roman" w:eastAsia="等线" w:hAnsi="Times New Roman" w:cs="Times New Roman"/>
        <w:sz w:val="20"/>
        <w:szCs w:val="20"/>
      </w:rPr>
    </w:pPr>
    <w:r w:rsidRPr="00CE6C8B">
      <w:rPr>
        <w:rFonts w:ascii="Times New Roman" w:eastAsia="等线" w:hAnsi="Times New Roman" w:cs="Times New Roman"/>
        <w:i/>
        <w:sz w:val="20"/>
        <w:szCs w:val="20"/>
      </w:rPr>
      <w:t>Mathematical Biosciences and Engineering</w:t>
    </w:r>
    <w:r w:rsidRPr="00CE6C8B">
      <w:rPr>
        <w:rFonts w:ascii="Times New Roman" w:eastAsia="等线" w:hAnsi="Times New Roman" w:cs="Times New Roman" w:hint="eastAsia"/>
        <w:sz w:val="20"/>
        <w:szCs w:val="20"/>
      </w:rPr>
      <w:tab/>
    </w:r>
    <w:r w:rsidRPr="00CE6C8B">
      <w:rPr>
        <w:rFonts w:ascii="Times New Roman" w:eastAsia="等线" w:hAnsi="Times New Roman" w:cs="Times New Roman" w:hint="eastAsia"/>
        <w:sz w:val="20"/>
        <w:szCs w:val="20"/>
      </w:rPr>
      <w:tab/>
      <w:t xml:space="preserve">Volume </w:t>
    </w:r>
    <w:r w:rsidRPr="00CE6C8B">
      <w:rPr>
        <w:rFonts w:ascii="Times New Roman" w:eastAsia="等线" w:hAnsi="Times New Roman" w:cs="Times New Roman"/>
        <w:sz w:val="20"/>
        <w:szCs w:val="20"/>
      </w:rPr>
      <w:t>19</w:t>
    </w:r>
    <w:r w:rsidRPr="00CE6C8B">
      <w:rPr>
        <w:rFonts w:ascii="Times New Roman" w:eastAsia="等线" w:hAnsi="Times New Roman" w:cs="Times New Roman" w:hint="eastAsia"/>
        <w:sz w:val="20"/>
        <w:szCs w:val="20"/>
      </w:rPr>
      <w:t xml:space="preserve">, Issue </w:t>
    </w:r>
    <w:r w:rsidR="00D019BC">
      <w:rPr>
        <w:rFonts w:ascii="Times New Roman" w:eastAsia="等线" w:hAnsi="Times New Roman" w:cs="Times New Roman"/>
        <w:sz w:val="20"/>
        <w:szCs w:val="20"/>
      </w:rPr>
      <w:t>9</w:t>
    </w:r>
    <w:r w:rsidRPr="00CE6C8B">
      <w:rPr>
        <w:rFonts w:ascii="Times New Roman" w:eastAsia="等线" w:hAnsi="Times New Roman" w:cs="Times New Roman" w:hint="eastAsia"/>
        <w:sz w:val="20"/>
        <w:szCs w:val="20"/>
      </w:rPr>
      <w:t xml:space="preserve">, </w:t>
    </w:r>
    <w:r w:rsidR="00281C23" w:rsidRPr="00281C23">
      <w:rPr>
        <w:rFonts w:ascii="Times New Roman" w:eastAsia="等线" w:hAnsi="Times New Roman" w:cs="Times New Roman"/>
        <w:sz w:val="20"/>
        <w:szCs w:val="20"/>
      </w:rPr>
      <w:t>9481–9504</w:t>
    </w:r>
    <w:r w:rsidR="00790BAE" w:rsidRPr="00D45ECF">
      <w:rPr>
        <w:rFonts w:ascii="Times New Roman" w:eastAsia="等线" w:hAnsi="Times New Roman" w:cs="Times New Roman" w:hint="eastAs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738B" w14:textId="77777777" w:rsidR="00CF039C" w:rsidRDefault="00CF039C" w:rsidP="00CE6C8B">
      <w:r>
        <w:separator/>
      </w:r>
    </w:p>
  </w:footnote>
  <w:footnote w:type="continuationSeparator" w:id="0">
    <w:p w14:paraId="605DD24F" w14:textId="77777777" w:rsidR="00CF039C" w:rsidRDefault="00CF039C" w:rsidP="00CE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282996"/>
      <w:docPartObj>
        <w:docPartGallery w:val="Page Numbers (Top of Page)"/>
        <w:docPartUnique/>
      </w:docPartObj>
    </w:sdtPr>
    <w:sdtEndPr/>
    <w:sdtContent>
      <w:p w14:paraId="392A3406" w14:textId="1BA9315A" w:rsidR="00CE6C8B" w:rsidRDefault="005C3436" w:rsidP="003158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045"/>
    <w:rsid w:val="00036961"/>
    <w:rsid w:val="000C6D52"/>
    <w:rsid w:val="000E438B"/>
    <w:rsid w:val="000E5755"/>
    <w:rsid w:val="000F0483"/>
    <w:rsid w:val="00100CF2"/>
    <w:rsid w:val="001247F5"/>
    <w:rsid w:val="001B6915"/>
    <w:rsid w:val="0021721D"/>
    <w:rsid w:val="002270EA"/>
    <w:rsid w:val="00244794"/>
    <w:rsid w:val="00281C23"/>
    <w:rsid w:val="002A05E2"/>
    <w:rsid w:val="003158CE"/>
    <w:rsid w:val="003335BA"/>
    <w:rsid w:val="003726D3"/>
    <w:rsid w:val="0039130F"/>
    <w:rsid w:val="003A0B31"/>
    <w:rsid w:val="003F719D"/>
    <w:rsid w:val="00415045"/>
    <w:rsid w:val="004344EA"/>
    <w:rsid w:val="00484B7C"/>
    <w:rsid w:val="004F1EDD"/>
    <w:rsid w:val="004F78D2"/>
    <w:rsid w:val="005018E4"/>
    <w:rsid w:val="00515AEB"/>
    <w:rsid w:val="00585AD9"/>
    <w:rsid w:val="005C3436"/>
    <w:rsid w:val="005E60A6"/>
    <w:rsid w:val="0067626D"/>
    <w:rsid w:val="006765ED"/>
    <w:rsid w:val="006B7911"/>
    <w:rsid w:val="00761DB1"/>
    <w:rsid w:val="00787250"/>
    <w:rsid w:val="00790BAE"/>
    <w:rsid w:val="007973D2"/>
    <w:rsid w:val="007F35A9"/>
    <w:rsid w:val="007F74BC"/>
    <w:rsid w:val="008152FD"/>
    <w:rsid w:val="00873090"/>
    <w:rsid w:val="008A0A5B"/>
    <w:rsid w:val="008F4816"/>
    <w:rsid w:val="00921F92"/>
    <w:rsid w:val="00925B0A"/>
    <w:rsid w:val="00935D85"/>
    <w:rsid w:val="009511C2"/>
    <w:rsid w:val="009A1899"/>
    <w:rsid w:val="009D7924"/>
    <w:rsid w:val="00A270AB"/>
    <w:rsid w:val="00A75828"/>
    <w:rsid w:val="00A92CAB"/>
    <w:rsid w:val="00A94F33"/>
    <w:rsid w:val="00AB1AB0"/>
    <w:rsid w:val="00AE674A"/>
    <w:rsid w:val="00B84D34"/>
    <w:rsid w:val="00BA70C1"/>
    <w:rsid w:val="00BF3849"/>
    <w:rsid w:val="00C6622C"/>
    <w:rsid w:val="00CC2406"/>
    <w:rsid w:val="00CE6C8B"/>
    <w:rsid w:val="00CF039C"/>
    <w:rsid w:val="00CF480D"/>
    <w:rsid w:val="00CF5A02"/>
    <w:rsid w:val="00D019BC"/>
    <w:rsid w:val="00D250B6"/>
    <w:rsid w:val="00D336E7"/>
    <w:rsid w:val="00D45ECF"/>
    <w:rsid w:val="00D94B66"/>
    <w:rsid w:val="00E10188"/>
    <w:rsid w:val="00E108EA"/>
    <w:rsid w:val="00E45CFC"/>
    <w:rsid w:val="00E7730E"/>
    <w:rsid w:val="00E9133E"/>
    <w:rsid w:val="00EB1157"/>
    <w:rsid w:val="00ED0177"/>
    <w:rsid w:val="00ED52B2"/>
    <w:rsid w:val="00F11691"/>
    <w:rsid w:val="00F3151B"/>
    <w:rsid w:val="00F53939"/>
    <w:rsid w:val="00FA0DCF"/>
    <w:rsid w:val="00FC634C"/>
    <w:rsid w:val="00FF7C80"/>
    <w:rsid w:val="375D490D"/>
    <w:rsid w:val="3B087319"/>
    <w:rsid w:val="4CC0351C"/>
    <w:rsid w:val="78D22C24"/>
    <w:rsid w:val="7D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75E1"/>
  <w15:docId w15:val="{56D799DE-82BB-40B6-9428-B6E6938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5E60A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sea-msigdb.org/gsea/msigdb/cards/GOBP_RESPONSE_TO_INTERFERON_BETA.html" TargetMode="External"/><Relationship Id="rId18" Type="http://schemas.openxmlformats.org/officeDocument/2006/relationships/hyperlink" Target="http://www.gsea-msigdb.org/gsea/msigdb/cards/NATSUME_RESPONSE_TO_INTERFERON_BETA_UP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sea-msigdb.org/gsea/msigdb/cards/GOBP_RESPONSE_TO_INTERFERON_ALPHA.html" TargetMode="External"/><Relationship Id="rId17" Type="http://schemas.openxmlformats.org/officeDocument/2006/relationships/hyperlink" Target="http://www.gsea-msigdb.org/gsea/msigdb/cards/NATSUME_RESPONSE_TO_INTERFERON_BETA_D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sea-msigdb.org/gsea/msigdb/cards/HALLMARK_INTERFERON_GAMMA_RESPONSE.html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ea-msigdb.org/gsea/msigdb/cards/GOBP_REGULATION_OF_RESPONSE_TO_INTERFERON_GAMMA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sea-msigdb.org/gsea/msigdb/cards/HALLMARK_INTERFERON_ALPHA_RESPONS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sea-msigdb.org/gsea/msigdb/cards/GOBP_CELLULAR_RESPONSE_TO_INTERFERON_BETA.html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sea-msigdb.org/gsea/msigdb/cards/GOBP_CELLULAR_RESPONSE_TO_INTERFERON_ALPHA.html" TargetMode="External"/><Relationship Id="rId14" Type="http://schemas.openxmlformats.org/officeDocument/2006/relationships/hyperlink" Target="http://www.gsea-msigdb.org/gsea/msigdb/cards/GOBP_RESPONSE_TO_INTERFERON_GAMMA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1E958-1591-470F-A78B-56F38DD3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1244003955@qq.com</cp:lastModifiedBy>
  <cp:revision>82</cp:revision>
  <dcterms:created xsi:type="dcterms:W3CDTF">2021-06-09T09:53:00Z</dcterms:created>
  <dcterms:modified xsi:type="dcterms:W3CDTF">2022-06-29T03:01:00Z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05F09BA2AA1F471D80BFCD3D21272F16</vt:lpwstr>
  </property>
</Properties>
</file>