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7EE9" w14:textId="2A4358E6" w:rsidR="00DC2A1D" w:rsidRDefault="00DC2A1D" w:rsidP="00DC2A1D">
      <w:pPr>
        <w:ind w:left="6973"/>
        <w:jc w:val="left"/>
        <w:textAlignment w:val="top"/>
        <w:rPr>
          <w:rFonts w:ascii="Times New Roman" w:hAnsi="Times New Roman"/>
          <w:sz w:val="22"/>
        </w:rPr>
      </w:pPr>
      <w:r>
        <w:rPr>
          <w:noProof/>
        </w:rPr>
        <w:drawing>
          <wp:anchor distT="0" distB="0" distL="114300" distR="114300" simplePos="0" relativeHeight="251659264" behindDoc="0" locked="0" layoutInCell="1" allowOverlap="1" wp14:anchorId="0D0C06F0" wp14:editId="2172DB96">
            <wp:simplePos x="0" y="0"/>
            <wp:positionH relativeFrom="column">
              <wp:posOffset>59055</wp:posOffset>
            </wp:positionH>
            <wp:positionV relativeFrom="paragraph">
              <wp:posOffset>59690</wp:posOffset>
            </wp:positionV>
            <wp:extent cx="2981960" cy="595630"/>
            <wp:effectExtent l="0" t="0" r="0" b="0"/>
            <wp:wrapNone/>
            <wp:docPr id="3" name="Picture 1" descr="C:\Users\Administrator\Desktop\logo-MBE.pnglogo-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MBE.pnglogo-M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9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2"/>
        </w:rPr>
        <w:t>MBE</w:t>
      </w:r>
      <w:r>
        <w:rPr>
          <w:rFonts w:ascii="Times New Roman" w:hAnsi="Times New Roman" w:hint="eastAsia"/>
          <w:sz w:val="22"/>
        </w:rPr>
        <w:t xml:space="preserve">, </w:t>
      </w:r>
      <w:r>
        <w:rPr>
          <w:rFonts w:ascii="Times New Roman" w:hAnsi="Times New Roman"/>
          <w:sz w:val="22"/>
        </w:rPr>
        <w:t xml:space="preserve">18 </w:t>
      </w:r>
      <w:r>
        <w:rPr>
          <w:rFonts w:ascii="Times New Roman" w:hAnsi="Times New Roman" w:hint="eastAsia"/>
          <w:sz w:val="22"/>
        </w:rPr>
        <w:t>(</w:t>
      </w:r>
      <w:r>
        <w:rPr>
          <w:rFonts w:ascii="Times New Roman" w:hAnsi="Times New Roman"/>
          <w:sz w:val="22"/>
        </w:rPr>
        <w:t>6</w:t>
      </w:r>
      <w:r>
        <w:rPr>
          <w:rFonts w:ascii="Times New Roman" w:hAnsi="Times New Roman" w:hint="eastAsia"/>
          <w:sz w:val="22"/>
        </w:rPr>
        <w:t>):</w:t>
      </w:r>
      <w:r>
        <w:rPr>
          <w:rFonts w:ascii="Times New Roman" w:hAnsi="Times New Roman"/>
          <w:sz w:val="22"/>
        </w:rPr>
        <w:t xml:space="preserve"> </w:t>
      </w:r>
      <w:bookmarkStart w:id="0" w:name="_Hlk86916607"/>
      <w:r w:rsidR="00845B90">
        <w:rPr>
          <w:rFonts w:ascii="Times New Roman" w:hAnsi="Times New Roman"/>
          <w:sz w:val="22"/>
        </w:rPr>
        <w:t>9685–9696</w:t>
      </w:r>
      <w:bookmarkEnd w:id="0"/>
      <w:r>
        <w:rPr>
          <w:rFonts w:ascii="Times New Roman" w:hAnsi="Times New Roman"/>
          <w:sz w:val="22"/>
        </w:rPr>
        <w:t>.</w:t>
      </w:r>
      <w:r>
        <w:rPr>
          <w:rFonts w:ascii="Times New Roman" w:hAnsi="Times New Roman" w:hint="eastAsia"/>
          <w:sz w:val="22"/>
        </w:rPr>
        <w:br/>
      </w:r>
      <w:r>
        <w:rPr>
          <w:rFonts w:ascii="Times New Roman" w:hAnsi="Times New Roman"/>
          <w:sz w:val="22"/>
        </w:rPr>
        <w:t>DOI:</w:t>
      </w:r>
      <w:r w:rsidR="00845B90">
        <w:rPr>
          <w:rFonts w:ascii="Times New Roman" w:hAnsi="Times New Roman"/>
          <w:sz w:val="22"/>
        </w:rPr>
        <w:t xml:space="preserve"> </w:t>
      </w:r>
      <w:r w:rsidR="00845B90" w:rsidRPr="00845B90">
        <w:rPr>
          <w:rFonts w:ascii="Times New Roman" w:hAnsi="Times New Roman"/>
          <w:sz w:val="22"/>
        </w:rPr>
        <w:t>10.3934/mbe.2021474</w:t>
      </w:r>
      <w:r>
        <w:rPr>
          <w:rFonts w:ascii="Times New Roman" w:hAnsi="Times New Roman"/>
          <w:sz w:val="22"/>
        </w:rPr>
        <w:br/>
      </w:r>
      <w:r>
        <w:rPr>
          <w:rFonts w:ascii="Times New Roman" w:hAnsi="Times New Roman" w:hint="eastAsia"/>
          <w:sz w:val="22"/>
        </w:rPr>
        <w:t xml:space="preserve">Received: </w:t>
      </w:r>
      <w:r w:rsidRPr="00B07860">
        <w:rPr>
          <w:rFonts w:ascii="Times New Roman" w:hAnsi="Times New Roman"/>
          <w:sz w:val="22"/>
        </w:rPr>
        <w:t>27 September 2021</w:t>
      </w:r>
      <w:r>
        <w:rPr>
          <w:rFonts w:ascii="Times New Roman" w:hAnsi="Times New Roman"/>
          <w:sz w:val="22"/>
        </w:rPr>
        <w:br/>
      </w:r>
      <w:r>
        <w:rPr>
          <w:rFonts w:ascii="Times New Roman" w:hAnsi="Times New Roman" w:hint="eastAsia"/>
          <w:sz w:val="22"/>
        </w:rPr>
        <w:t>Accepted:</w:t>
      </w:r>
      <w:r>
        <w:rPr>
          <w:rFonts w:ascii="Times New Roman" w:hAnsi="Times New Roman"/>
          <w:sz w:val="22"/>
        </w:rPr>
        <w:t xml:space="preserve"> </w:t>
      </w:r>
      <w:r w:rsidRPr="00B07860">
        <w:rPr>
          <w:rFonts w:ascii="Times New Roman" w:hAnsi="Times New Roman"/>
          <w:sz w:val="22"/>
        </w:rPr>
        <w:t>26 October 2021</w:t>
      </w:r>
      <w:r>
        <w:rPr>
          <w:rFonts w:ascii="Times New Roman" w:hAnsi="Times New Roman"/>
          <w:sz w:val="22"/>
        </w:rPr>
        <w:br/>
      </w:r>
      <w:r>
        <w:rPr>
          <w:rFonts w:ascii="Times New Roman" w:hAnsi="Times New Roman" w:hint="eastAsia"/>
          <w:sz w:val="22"/>
        </w:rPr>
        <w:t>Published:</w:t>
      </w:r>
      <w:r>
        <w:rPr>
          <w:rFonts w:ascii="Times New Roman" w:hAnsi="Times New Roman"/>
          <w:sz w:val="22"/>
        </w:rPr>
        <w:t xml:space="preserve"> </w:t>
      </w:r>
      <w:r w:rsidR="00845B90">
        <w:rPr>
          <w:rFonts w:ascii="Times New Roman" w:hAnsi="Times New Roman"/>
          <w:sz w:val="22"/>
        </w:rPr>
        <w:t>04 November 2021</w:t>
      </w:r>
    </w:p>
    <w:p w14:paraId="7D1B99D7" w14:textId="77777777" w:rsidR="00DC2A1D" w:rsidRDefault="00DC2A1D" w:rsidP="00DC2A1D">
      <w:pPr>
        <w:rPr>
          <w:rFonts w:ascii="Times New Roman" w:hAnsi="Times New Roman"/>
          <w:sz w:val="22"/>
        </w:rPr>
      </w:pPr>
      <w:r>
        <w:rPr>
          <w:rFonts w:ascii="Times New Roman" w:hAnsi="Times New Roman"/>
          <w:sz w:val="22"/>
        </w:rPr>
        <w:t>http://www.aimspress.com/journal/MBE</w:t>
      </w:r>
    </w:p>
    <w:p w14:paraId="26E9CE35" w14:textId="77777777" w:rsidR="00DC2A1D" w:rsidRDefault="00DC2A1D" w:rsidP="00DC2A1D">
      <w:pPr>
        <w:pBdr>
          <w:bottom w:val="single" w:sz="24" w:space="1" w:color="auto"/>
        </w:pBdr>
        <w:spacing w:line="320" w:lineRule="atLeast"/>
        <w:rPr>
          <w:rFonts w:ascii="Times New Roman" w:hAnsi="Times New Roman"/>
        </w:rPr>
      </w:pPr>
    </w:p>
    <w:p w14:paraId="72989FE4" w14:textId="77777777" w:rsidR="00DC2A1D" w:rsidRDefault="00DC2A1D" w:rsidP="00DC2A1D">
      <w:pPr>
        <w:spacing w:beforeLines="100" w:before="332" w:line="300" w:lineRule="atLeast"/>
        <w:rPr>
          <w:rFonts w:ascii="Times New Roman" w:hAnsi="Times New Roman"/>
          <w:b/>
          <w:i/>
          <w:sz w:val="24"/>
          <w:szCs w:val="24"/>
        </w:rPr>
      </w:pPr>
      <w:r>
        <w:rPr>
          <w:rFonts w:ascii="Times New Roman" w:hAnsi="Times New Roman"/>
          <w:b/>
          <w:i/>
          <w:sz w:val="24"/>
          <w:szCs w:val="24"/>
        </w:rPr>
        <w:t>R</w:t>
      </w:r>
      <w:r>
        <w:rPr>
          <w:rFonts w:ascii="Times New Roman" w:hAnsi="Times New Roman" w:hint="eastAsia"/>
          <w:b/>
          <w:i/>
          <w:sz w:val="24"/>
          <w:szCs w:val="24"/>
        </w:rPr>
        <w:t>esearch article</w:t>
      </w:r>
    </w:p>
    <w:p w14:paraId="643AE975" w14:textId="77777777" w:rsidR="00DC2A1D" w:rsidRDefault="00DC2A1D" w:rsidP="00DC2A1D">
      <w:pPr>
        <w:spacing w:beforeLines="100" w:before="332" w:line="300" w:lineRule="atLeast"/>
        <w:rPr>
          <w:rFonts w:ascii="Times New Roman" w:hAnsi="Times New Roman"/>
          <w:b/>
          <w:sz w:val="32"/>
          <w:szCs w:val="32"/>
        </w:rPr>
      </w:pPr>
      <w:r w:rsidRPr="00A43097">
        <w:rPr>
          <w:rFonts w:ascii="Times New Roman" w:hAnsi="Times New Roman"/>
          <w:b/>
          <w:sz w:val="32"/>
          <w:szCs w:val="32"/>
        </w:rPr>
        <w:t>Not all fun and games: Potential incidence of SARS-CoV-2 infections during the Tokyo 2020 Olympic Games</w:t>
      </w:r>
    </w:p>
    <w:p w14:paraId="431B229E" w14:textId="77777777" w:rsidR="00DC2A1D" w:rsidRDefault="00DC2A1D" w:rsidP="00DC2A1D">
      <w:pPr>
        <w:spacing w:beforeLines="100" w:before="332" w:line="300" w:lineRule="atLeast"/>
        <w:jc w:val="left"/>
        <w:rPr>
          <w:rFonts w:ascii="Times New Roman" w:hAnsi="Times New Roman"/>
          <w:b/>
          <w:sz w:val="24"/>
          <w:szCs w:val="24"/>
        </w:rPr>
      </w:pPr>
      <w:r>
        <w:rPr>
          <w:rFonts w:ascii="Times New Roman" w:hAnsi="Times New Roman"/>
          <w:b/>
          <w:sz w:val="24"/>
          <w:szCs w:val="24"/>
        </w:rPr>
        <w:t xml:space="preserve">Natalie M. Linton </w:t>
      </w:r>
      <w:r>
        <w:rPr>
          <w:rFonts w:ascii="Times New Roman" w:hAnsi="Times New Roman"/>
          <w:b/>
          <w:sz w:val="24"/>
          <w:szCs w:val="24"/>
          <w:vertAlign w:val="superscript"/>
        </w:rPr>
        <w:t>1,2</w:t>
      </w:r>
      <w:r>
        <w:rPr>
          <w:rFonts w:ascii="Times New Roman" w:hAnsi="Times New Roman"/>
          <w:b/>
          <w:sz w:val="24"/>
          <w:szCs w:val="24"/>
        </w:rPr>
        <w:t>, Sung-</w:t>
      </w:r>
      <w:proofErr w:type="spellStart"/>
      <w:r>
        <w:rPr>
          <w:rFonts w:ascii="Times New Roman" w:hAnsi="Times New Roman"/>
          <w:b/>
          <w:sz w:val="24"/>
          <w:szCs w:val="24"/>
        </w:rPr>
        <w:t>mok</w:t>
      </w:r>
      <w:proofErr w:type="spellEnd"/>
      <w:r>
        <w:rPr>
          <w:rFonts w:ascii="Times New Roman" w:hAnsi="Times New Roman"/>
          <w:b/>
          <w:sz w:val="24"/>
          <w:szCs w:val="24"/>
        </w:rPr>
        <w:t xml:space="preserve"> Jung </w:t>
      </w:r>
      <w:r>
        <w:rPr>
          <w:rFonts w:ascii="Times New Roman" w:hAnsi="Times New Roman"/>
          <w:b/>
          <w:sz w:val="24"/>
          <w:szCs w:val="24"/>
          <w:vertAlign w:val="superscript"/>
        </w:rPr>
        <w:t>1,2</w:t>
      </w:r>
      <w:r>
        <w:rPr>
          <w:rFonts w:ascii="Times New Roman" w:hAnsi="Times New Roman"/>
          <w:b/>
          <w:sz w:val="24"/>
          <w:szCs w:val="24"/>
        </w:rPr>
        <w:t xml:space="preserve"> and Hiroshi Nishiura </w:t>
      </w:r>
      <w:proofErr w:type="gramStart"/>
      <w:r>
        <w:rPr>
          <w:rFonts w:ascii="Times New Roman" w:hAnsi="Times New Roman"/>
          <w:b/>
          <w:sz w:val="24"/>
          <w:szCs w:val="24"/>
          <w:vertAlign w:val="superscript"/>
        </w:rPr>
        <w:t>1,</w:t>
      </w:r>
      <w:r>
        <w:rPr>
          <w:rFonts w:ascii="Times New Roman" w:hAnsi="Times New Roman"/>
          <w:b/>
          <w:sz w:val="24"/>
          <w:szCs w:val="24"/>
        </w:rPr>
        <w:t>*</w:t>
      </w:r>
      <w:proofErr w:type="gramEnd"/>
    </w:p>
    <w:p w14:paraId="030BDD92" w14:textId="77777777" w:rsidR="00DC2A1D" w:rsidRDefault="00DC2A1D" w:rsidP="00DC2A1D">
      <w:pPr>
        <w:spacing w:beforeLines="100" w:before="332" w:line="300" w:lineRule="atLeast"/>
        <w:ind w:left="241" w:hangingChars="100" w:hanging="241"/>
        <w:jc w:val="left"/>
        <w:rPr>
          <w:rFonts w:ascii="Times New Roman" w:hAnsi="Times New Roman"/>
          <w:b/>
          <w:sz w:val="24"/>
          <w:szCs w:val="24"/>
        </w:rPr>
      </w:pPr>
      <w:r>
        <w:rPr>
          <w:rFonts w:ascii="Times New Roman" w:hAnsi="Times New Roman"/>
          <w:b/>
          <w:sz w:val="24"/>
          <w:szCs w:val="24"/>
          <w:vertAlign w:val="superscript"/>
        </w:rPr>
        <w:t>1</w:t>
      </w:r>
      <w:r>
        <w:rPr>
          <w:rFonts w:ascii="Times New Roman" w:hAnsi="Times New Roman"/>
          <w:b/>
          <w:sz w:val="24"/>
          <w:szCs w:val="24"/>
          <w:vertAlign w:val="superscript"/>
        </w:rPr>
        <w:tab/>
      </w:r>
      <w:r>
        <w:rPr>
          <w:rFonts w:ascii="Times New Roman" w:hAnsi="Times New Roman"/>
          <w:sz w:val="24"/>
          <w:szCs w:val="24"/>
        </w:rPr>
        <w:t>School of Public Health, Kyoto University, Kyoto, Japan</w:t>
      </w:r>
    </w:p>
    <w:p w14:paraId="793FD92A" w14:textId="77777777" w:rsidR="00DC2A1D" w:rsidRDefault="00DC2A1D" w:rsidP="00DC2A1D">
      <w:pPr>
        <w:spacing w:line="300" w:lineRule="atLeast"/>
        <w:ind w:left="241" w:hangingChars="100" w:hanging="241"/>
        <w:jc w:val="left"/>
        <w:rPr>
          <w:rFonts w:ascii="Times New Roman" w:hAnsi="Times New Roman"/>
          <w:b/>
          <w:sz w:val="24"/>
          <w:szCs w:val="24"/>
        </w:rPr>
      </w:pPr>
      <w:r>
        <w:rPr>
          <w:rFonts w:ascii="Times New Roman" w:hAnsi="Times New Roman"/>
          <w:b/>
          <w:sz w:val="24"/>
          <w:szCs w:val="24"/>
          <w:vertAlign w:val="superscript"/>
        </w:rPr>
        <w:t>2</w:t>
      </w:r>
      <w:r>
        <w:rPr>
          <w:rFonts w:ascii="Times New Roman" w:hAnsi="Times New Roman"/>
          <w:b/>
          <w:sz w:val="24"/>
          <w:szCs w:val="24"/>
          <w:vertAlign w:val="superscript"/>
        </w:rPr>
        <w:tab/>
      </w:r>
      <w:r>
        <w:rPr>
          <w:rFonts w:ascii="Times New Roman" w:hAnsi="Times New Roman"/>
          <w:sz w:val="24"/>
          <w:szCs w:val="24"/>
        </w:rPr>
        <w:t>Graduate School of Medicine, Hokkaido University, Sapporo, Japan</w:t>
      </w:r>
    </w:p>
    <w:p w14:paraId="217B2A21" w14:textId="0BBC7408" w:rsidR="00DC2A1D" w:rsidRPr="00B07860" w:rsidRDefault="00DC2A1D" w:rsidP="00DC2A1D">
      <w:pPr>
        <w:spacing w:beforeLines="100" w:before="332" w:line="300" w:lineRule="atLeast"/>
        <w:ind w:left="233" w:hangingChars="100" w:hanging="233"/>
        <w:rPr>
          <w:rFonts w:ascii="Times New Roman" w:hAnsi="Times New Roman"/>
          <w:b/>
          <w:spacing w:val="-4"/>
          <w:sz w:val="24"/>
          <w:szCs w:val="24"/>
        </w:rPr>
      </w:pPr>
      <w:r w:rsidRPr="00B07860">
        <w:rPr>
          <w:rFonts w:ascii="Times New Roman" w:hAnsi="Times New Roman"/>
          <w:b/>
          <w:spacing w:val="-4"/>
          <w:sz w:val="24"/>
          <w:szCs w:val="24"/>
        </w:rPr>
        <w:t>*</w:t>
      </w:r>
      <w:r w:rsidRPr="00B07860">
        <w:rPr>
          <w:rFonts w:ascii="Times New Roman" w:hAnsi="Times New Roman"/>
          <w:b/>
          <w:spacing w:val="-4"/>
          <w:sz w:val="24"/>
          <w:szCs w:val="24"/>
        </w:rPr>
        <w:tab/>
        <w:t xml:space="preserve">Correspondence: </w:t>
      </w:r>
      <w:r w:rsidR="00543353" w:rsidRPr="00543353">
        <w:rPr>
          <w:rFonts w:ascii="Times New Roman" w:hAnsi="Times New Roman"/>
          <w:bCs/>
          <w:spacing w:val="-4"/>
          <w:sz w:val="24"/>
          <w:szCs w:val="24"/>
        </w:rPr>
        <w:t>Email:</w:t>
      </w:r>
      <w:r w:rsidR="00543353">
        <w:rPr>
          <w:rFonts w:ascii="Times New Roman" w:hAnsi="Times New Roman"/>
          <w:b/>
          <w:spacing w:val="-4"/>
          <w:sz w:val="24"/>
          <w:szCs w:val="24"/>
        </w:rPr>
        <w:t xml:space="preserve"> </w:t>
      </w:r>
      <w:r w:rsidRPr="00B07860">
        <w:rPr>
          <w:rFonts w:ascii="Times New Roman" w:hAnsi="Times New Roman"/>
          <w:spacing w:val="-4"/>
          <w:sz w:val="24"/>
          <w:szCs w:val="24"/>
        </w:rPr>
        <w:t>nishiura.hiroshi.5r@kyoto-u.ac.jp; Tel</w:t>
      </w:r>
      <w:r w:rsidRPr="00B07860">
        <w:rPr>
          <w:rFonts w:ascii="Times New Roman" w:hAnsi="Times New Roman" w:hint="eastAsia"/>
          <w:spacing w:val="-4"/>
          <w:sz w:val="24"/>
          <w:szCs w:val="24"/>
        </w:rPr>
        <w:t>: +</w:t>
      </w:r>
      <w:r w:rsidRPr="00B07860">
        <w:rPr>
          <w:rFonts w:ascii="Times New Roman" w:hAnsi="Times New Roman"/>
          <w:spacing w:val="-4"/>
          <w:sz w:val="24"/>
          <w:szCs w:val="24"/>
        </w:rPr>
        <w:t>8</w:t>
      </w:r>
      <w:r w:rsidRPr="00B07860">
        <w:rPr>
          <w:rFonts w:ascii="Times New Roman" w:hAnsi="Times New Roman" w:hint="eastAsia"/>
          <w:spacing w:val="-4"/>
          <w:sz w:val="24"/>
          <w:szCs w:val="24"/>
        </w:rPr>
        <w:t>1-</w:t>
      </w:r>
      <w:r w:rsidRPr="00B07860">
        <w:rPr>
          <w:rFonts w:ascii="Times New Roman" w:hAnsi="Times New Roman"/>
          <w:spacing w:val="-4"/>
          <w:sz w:val="24"/>
          <w:szCs w:val="24"/>
        </w:rPr>
        <w:t>075-753-4456; Fax: +81-075-753-4458</w:t>
      </w:r>
      <w:r w:rsidRPr="00B07860">
        <w:rPr>
          <w:rFonts w:ascii="Times New Roman" w:hAnsi="Times New Roman" w:hint="eastAsia"/>
          <w:spacing w:val="-4"/>
          <w:sz w:val="24"/>
          <w:szCs w:val="24"/>
        </w:rPr>
        <w:t>.</w:t>
      </w:r>
    </w:p>
    <w:p w14:paraId="010466E2" w14:textId="77777777" w:rsidR="00DC2A1D" w:rsidRDefault="00DC2A1D" w:rsidP="00DC2A1D">
      <w:pPr>
        <w:pBdr>
          <w:bottom w:val="single" w:sz="24" w:space="1" w:color="auto"/>
        </w:pBdr>
        <w:spacing w:line="320" w:lineRule="atLeast"/>
        <w:rPr>
          <w:rFonts w:ascii="Times New Roman" w:hAnsi="Times New Roman"/>
        </w:rPr>
      </w:pPr>
    </w:p>
    <w:p w14:paraId="498A029B" w14:textId="44D0A086" w:rsidR="00DC2A1D" w:rsidRPr="002832AB" w:rsidRDefault="00DC2A1D" w:rsidP="00DC2A1D">
      <w:pPr>
        <w:pStyle w:val="a4"/>
        <w:spacing w:beforeLines="100" w:before="332" w:line="300" w:lineRule="atLeast"/>
        <w:ind w:firstLineChars="0" w:firstLine="0"/>
        <w:jc w:val="left"/>
        <w:rPr>
          <w:rFonts w:ascii="Times New Roman" w:hAnsi="Times New Roman"/>
          <w:b/>
          <w:i/>
          <w:iCs/>
          <w:sz w:val="24"/>
          <w:szCs w:val="24"/>
        </w:rPr>
      </w:pPr>
      <w:r>
        <w:rPr>
          <w:rFonts w:ascii="Times New Roman" w:hAnsi="Times New Roman"/>
          <w:b/>
          <w:sz w:val="24"/>
          <w:szCs w:val="24"/>
        </w:rPr>
        <w:t>Supplementary</w:t>
      </w:r>
    </w:p>
    <w:p w14:paraId="4E92C00F" w14:textId="2B8A5832" w:rsidR="00DC2A1D" w:rsidRDefault="00DC2A1D" w:rsidP="00DC2A1D">
      <w:pPr>
        <w:pStyle w:val="a4"/>
        <w:spacing w:beforeLines="100" w:before="332" w:line="300" w:lineRule="atLeast"/>
        <w:ind w:firstLine="480"/>
        <w:rPr>
          <w:rFonts w:ascii="Times New Roman" w:hAnsi="Times New Roman"/>
          <w:bCs/>
          <w:sz w:val="24"/>
          <w:szCs w:val="24"/>
        </w:rPr>
      </w:pPr>
      <w:r w:rsidRPr="00A72107">
        <w:rPr>
          <w:rFonts w:ascii="Times New Roman" w:hAnsi="Times New Roman"/>
          <w:bCs/>
          <w:sz w:val="24"/>
          <w:szCs w:val="24"/>
        </w:rPr>
        <w:t xml:space="preserve">We scanned the news media to obtain information on the numbers of foreign athletes, other foreign arrivals, </w:t>
      </w:r>
      <w:r w:rsidR="00DC293F">
        <w:rPr>
          <w:rFonts w:ascii="Times New Roman" w:hAnsi="Times New Roman"/>
          <w:bCs/>
          <w:sz w:val="24"/>
          <w:szCs w:val="24"/>
        </w:rPr>
        <w:t xml:space="preserve">domestic contractors and </w:t>
      </w:r>
      <w:r w:rsidRPr="00A72107">
        <w:rPr>
          <w:rFonts w:ascii="Times New Roman" w:hAnsi="Times New Roman"/>
          <w:bCs/>
          <w:sz w:val="24"/>
          <w:szCs w:val="24"/>
        </w:rPr>
        <w:t>volunteers, a</w:t>
      </w:r>
      <w:r w:rsidR="008C14F4">
        <w:rPr>
          <w:rFonts w:ascii="Times New Roman" w:hAnsi="Times New Roman"/>
          <w:bCs/>
          <w:sz w:val="24"/>
          <w:szCs w:val="24"/>
        </w:rPr>
        <w:t>s well as the</w:t>
      </w:r>
      <w:r w:rsidRPr="00A72107">
        <w:rPr>
          <w:rFonts w:ascii="Times New Roman" w:hAnsi="Times New Roman"/>
          <w:bCs/>
          <w:sz w:val="24"/>
          <w:szCs w:val="24"/>
        </w:rPr>
        <w:t xml:space="preserve"> overall number of persons expected to be involved in the Olympic Games. The sources for the numbers used in this paper are documented at https://github.com/nlinton/covid</w:t>
      </w:r>
      <w:r>
        <w:rPr>
          <w:rFonts w:ascii="Times New Roman" w:hAnsi="Times New Roman"/>
          <w:bCs/>
          <w:sz w:val="24"/>
          <w:szCs w:val="24"/>
        </w:rPr>
        <w:t>19</w:t>
      </w:r>
      <w:r w:rsidRPr="00A72107">
        <w:rPr>
          <w:rFonts w:ascii="Times New Roman" w:hAnsi="Times New Roman"/>
          <w:bCs/>
          <w:sz w:val="24"/>
          <w:szCs w:val="24"/>
        </w:rPr>
        <w:t xml:space="preserve">_tokyo2020. </w:t>
      </w:r>
    </w:p>
    <w:p w14:paraId="6EDEF1CA" w14:textId="77777777" w:rsidR="00DC2A1D" w:rsidRDefault="00DC2A1D" w:rsidP="00DC2A1D">
      <w:pPr>
        <w:pStyle w:val="a4"/>
        <w:spacing w:line="300" w:lineRule="atLeast"/>
        <w:ind w:firstLine="480"/>
        <w:rPr>
          <w:rFonts w:ascii="Times New Roman" w:hAnsi="Times New Roman"/>
          <w:bCs/>
          <w:sz w:val="24"/>
          <w:szCs w:val="24"/>
        </w:rPr>
      </w:pPr>
      <w:r w:rsidRPr="00A72107">
        <w:rPr>
          <w:rFonts w:ascii="Times New Roman" w:hAnsi="Times New Roman"/>
          <w:bCs/>
          <w:sz w:val="24"/>
          <w:szCs w:val="24"/>
        </w:rPr>
        <w:t>We calculated the estimated number of cases among foreign Olympic Games accredited individuals as: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1"/>
        <w:gridCol w:w="842"/>
      </w:tblGrid>
      <w:tr w:rsidR="00DC2A1D" w:rsidRPr="00DC2A1D" w14:paraId="60C49C4B" w14:textId="77777777" w:rsidTr="00362CA9">
        <w:trPr>
          <w:trHeight w:val="774"/>
        </w:trPr>
        <w:tc>
          <w:tcPr>
            <w:tcW w:w="8761" w:type="dxa"/>
            <w:vAlign w:val="center"/>
          </w:tcPr>
          <w:bookmarkStart w:id="1" w:name="_Hlk77067489"/>
          <w:p w14:paraId="79EEB343" w14:textId="77777777" w:rsidR="00DC2A1D" w:rsidRPr="00DC2A1D" w:rsidRDefault="00BF630E" w:rsidP="00DC2A1D">
            <w:pPr>
              <w:pStyle w:val="a5"/>
              <w:spacing w:before="120" w:after="120"/>
              <w:ind w:firstLine="0"/>
              <w:jc w:val="center"/>
              <w:rPr>
                <w:rFonts w:ascii="Times New Roman" w:hAnsi="Times New Roman"/>
              </w:rPr>
            </w:pPr>
            <m:oMathPara>
              <m:oMath>
                <m:f>
                  <m:fPr>
                    <m:ctrlPr>
                      <w:rPr>
                        <w:rFonts w:ascii="Cambria Math" w:hAnsi="Cambria Math"/>
                        <w:iCs/>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foreign</m:t>
                        </m:r>
                      </m:sub>
                    </m:sSub>
                    <m:r>
                      <m:rPr>
                        <m:sty m:val="p"/>
                      </m:rPr>
                      <w:rPr>
                        <w:rFonts w:ascii="Cambria Math" w:hAnsi="Cambria Math"/>
                      </w:rPr>
                      <m:t>*</m:t>
                    </m:r>
                    <m:d>
                      <m:dPr>
                        <m:ctrlPr>
                          <w:rPr>
                            <w:rFonts w:ascii="Cambria Math" w:hAnsi="Cambria Math"/>
                          </w:rPr>
                        </m:ctrlPr>
                      </m:dPr>
                      <m:e>
                        <m:r>
                          <m:rPr>
                            <m:sty m:val="p"/>
                          </m:rPr>
                          <w:rPr>
                            <w:rFonts w:ascii="Cambria Math" w:hAnsi="Cambria Math"/>
                          </w:rPr>
                          <m:t>1-se</m:t>
                        </m:r>
                      </m:e>
                    </m:d>
                    <m:r>
                      <m:rPr>
                        <m:sty m:val="p"/>
                      </m:rPr>
                      <w:rPr>
                        <w:rFonts w:ascii="Cambria Math" w:hAnsi="Cambria Math"/>
                      </w:rPr>
                      <m:t>*(1-0.8*</m:t>
                    </m:r>
                    <m:sSub>
                      <m:sSubPr>
                        <m:ctrlPr>
                          <w:rPr>
                            <w:rFonts w:ascii="Cambria Math" w:hAnsi="Cambria Math"/>
                          </w:rPr>
                        </m:ctrlPr>
                      </m:sSubPr>
                      <m:e>
                        <m:r>
                          <m:rPr>
                            <m:sty m:val="p"/>
                          </m:rPr>
                          <w:rPr>
                            <w:rFonts w:ascii="Cambria Math" w:hAnsi="Cambria Math"/>
                          </w:rPr>
                          <m:t>ve</m:t>
                        </m:r>
                      </m:e>
                      <m:sub>
                        <m:r>
                          <m:rPr>
                            <m:sty m:val="p"/>
                          </m:rPr>
                          <w:rPr>
                            <w:rFonts w:ascii="Cambria Math" w:hAnsi="Cambria Math"/>
                          </w:rPr>
                          <m:t>2 doses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world</m:t>
                        </m:r>
                      </m:sub>
                    </m:sSub>
                  </m:num>
                  <m:den>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world</m:t>
                        </m:r>
                      </m:sub>
                    </m:sSub>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world</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ve</m:t>
                            </m:r>
                          </m:e>
                          <m:sub>
                            <m:r>
                              <m:rPr>
                                <m:sty m:val="p"/>
                              </m:rPr>
                              <w:rPr>
                                <w:rFonts w:ascii="Cambria Math" w:hAnsi="Cambria Math"/>
                              </w:rPr>
                              <m:t>overall</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recovered</m:t>
                        </m:r>
                      </m:e>
                      <m:sub>
                        <m:r>
                          <m:rPr>
                            <m:sty m:val="p"/>
                          </m:rPr>
                          <w:rPr>
                            <w:rFonts w:ascii="Cambria Math" w:hAnsi="Cambria Math"/>
                          </w:rPr>
                          <m:t>world</m:t>
                        </m:r>
                      </m:sub>
                    </m:sSub>
                  </m:den>
                </m:f>
                <m:r>
                  <w:rPr>
                    <w:rFonts w:ascii="Cambria Math" w:hAnsi="Cambria Math"/>
                  </w:rPr>
                  <m:t>,</m:t>
                </m:r>
              </m:oMath>
            </m:oMathPara>
          </w:p>
        </w:tc>
        <w:tc>
          <w:tcPr>
            <w:tcW w:w="842" w:type="dxa"/>
            <w:vAlign w:val="center"/>
          </w:tcPr>
          <w:p w14:paraId="55600C4C" w14:textId="77777777" w:rsidR="00DC2A1D" w:rsidRPr="00DC2A1D" w:rsidRDefault="00DC2A1D" w:rsidP="00DC2A1D">
            <w:pPr>
              <w:pStyle w:val="a5"/>
              <w:spacing w:before="120" w:after="120"/>
              <w:ind w:firstLine="0"/>
              <w:jc w:val="center"/>
              <w:rPr>
                <w:rFonts w:ascii="Times New Roman" w:hAnsi="Times New Roman"/>
              </w:rPr>
            </w:pPr>
            <w:r w:rsidRPr="00DC2A1D">
              <w:rPr>
                <w:rFonts w:ascii="Times New Roman" w:hAnsi="Times New Roman"/>
              </w:rPr>
              <w:t>(S</w:t>
            </w:r>
            <w:r w:rsidRPr="00DC2A1D">
              <w:rPr>
                <w:rFonts w:ascii="Times New Roman" w:hAnsi="Times New Roman"/>
              </w:rPr>
              <w:fldChar w:fldCharType="begin"/>
            </w:r>
            <w:r w:rsidRPr="00DC2A1D">
              <w:rPr>
                <w:rFonts w:ascii="Times New Roman" w:hAnsi="Times New Roman"/>
              </w:rPr>
              <w:instrText xml:space="preserve"> SEQ Equation \* ARABIC </w:instrText>
            </w:r>
            <w:r w:rsidRPr="00DC2A1D">
              <w:rPr>
                <w:rFonts w:ascii="Times New Roman" w:hAnsi="Times New Roman"/>
              </w:rPr>
              <w:fldChar w:fldCharType="separate"/>
            </w:r>
            <w:r w:rsidRPr="00DC2A1D">
              <w:rPr>
                <w:rFonts w:ascii="Times New Roman" w:hAnsi="Times New Roman"/>
                <w:noProof/>
              </w:rPr>
              <w:t>4</w:t>
            </w:r>
            <w:r w:rsidRPr="00DC2A1D">
              <w:rPr>
                <w:rFonts w:ascii="Times New Roman" w:hAnsi="Times New Roman"/>
                <w:noProof/>
              </w:rPr>
              <w:fldChar w:fldCharType="end"/>
            </w:r>
            <w:r w:rsidRPr="00DC2A1D">
              <w:rPr>
                <w:rFonts w:ascii="Times New Roman" w:hAnsi="Times New Roman"/>
              </w:rPr>
              <w:t>)</w:t>
            </w:r>
          </w:p>
        </w:tc>
      </w:tr>
    </w:tbl>
    <w:bookmarkEnd w:id="1"/>
    <w:p w14:paraId="71ACDD88" w14:textId="77777777" w:rsidR="00DC2A1D" w:rsidRDefault="00DC2A1D" w:rsidP="00DC2A1D">
      <w:pPr>
        <w:pStyle w:val="a4"/>
        <w:spacing w:line="300" w:lineRule="atLeast"/>
        <w:ind w:firstLine="480"/>
        <w:rPr>
          <w:rFonts w:ascii="Times New Roman" w:hAnsi="Times New Roman"/>
          <w:bCs/>
          <w:sz w:val="24"/>
          <w:szCs w:val="24"/>
        </w:rPr>
      </w:pPr>
      <w:r w:rsidRPr="00A72107">
        <w:rPr>
          <w:rFonts w:ascii="Times New Roman" w:hAnsi="Times New Roman"/>
          <w:bCs/>
          <w:sz w:val="24"/>
          <w:szCs w:val="24"/>
        </w:rPr>
        <w:t xml:space="preserve">where </w:t>
      </w:r>
      <m:oMath>
        <m:r>
          <w:rPr>
            <w:rFonts w:ascii="Cambria Math" w:hAnsi="Cambria Math"/>
            <w:sz w:val="24"/>
            <w:szCs w:val="24"/>
          </w:rPr>
          <m:t>N</m:t>
        </m:r>
      </m:oMath>
      <w:r w:rsidRPr="00A72107">
        <w:rPr>
          <w:rFonts w:ascii="Times New Roman" w:hAnsi="Times New Roman"/>
          <w:bCs/>
          <w:sz w:val="24"/>
          <w:szCs w:val="24"/>
        </w:rPr>
        <w:t xml:space="preserve"> is the number of persons in the group, </w:t>
      </w:r>
      <m:oMath>
        <m:r>
          <w:rPr>
            <w:rFonts w:ascii="Cambria Math" w:hAnsi="Cambria Math"/>
            <w:sz w:val="24"/>
            <w:szCs w:val="24"/>
          </w:rPr>
          <m:t>V</m:t>
        </m:r>
      </m:oMath>
      <w:r w:rsidRPr="00A72107">
        <w:rPr>
          <w:rFonts w:ascii="Times New Roman" w:hAnsi="Times New Roman"/>
          <w:bCs/>
          <w:sz w:val="24"/>
          <w:szCs w:val="24"/>
        </w:rPr>
        <w:t xml:space="preserve"> is the number vaccinated (any vaccine/number of doses) out of population </w:t>
      </w:r>
      <m:oMath>
        <m:r>
          <w:rPr>
            <w:rFonts w:ascii="Cambria Math" w:hAnsi="Cambria Math"/>
            <w:sz w:val="24"/>
            <w:szCs w:val="24"/>
          </w:rPr>
          <m:t>P</m:t>
        </m:r>
      </m:oMath>
      <w:r w:rsidRPr="00A72107">
        <w:rPr>
          <w:rFonts w:ascii="Times New Roman" w:hAnsi="Times New Roman"/>
          <w:bCs/>
          <w:sz w:val="24"/>
          <w:szCs w:val="24"/>
        </w:rPr>
        <w:t xml:space="preserve">, </w:t>
      </w:r>
      <m:oMath>
        <m:r>
          <w:rPr>
            <w:rFonts w:ascii="Cambria Math" w:hAnsi="Cambria Math"/>
            <w:sz w:val="24"/>
            <w:szCs w:val="24"/>
          </w:rPr>
          <m:t>C</m:t>
        </m:r>
      </m:oMath>
      <w:r w:rsidRPr="00A72107">
        <w:rPr>
          <w:rFonts w:ascii="Times New Roman" w:hAnsi="Times New Roman"/>
          <w:bCs/>
          <w:sz w:val="24"/>
          <w:szCs w:val="24"/>
        </w:rPr>
        <w:t xml:space="preserve"> is the total incidence in population </w:t>
      </w:r>
      <m:oMath>
        <m:r>
          <w:rPr>
            <w:rFonts w:ascii="Cambria Math" w:hAnsi="Cambria Math"/>
            <w:sz w:val="24"/>
            <w:szCs w:val="24"/>
          </w:rPr>
          <m:t>P</m:t>
        </m:r>
      </m:oMath>
      <w:r w:rsidRPr="00A72107">
        <w:rPr>
          <w:rFonts w:ascii="Times New Roman" w:hAnsi="Times New Roman"/>
          <w:bCs/>
          <w:sz w:val="24"/>
          <w:szCs w:val="24"/>
        </w:rPr>
        <w:t xml:space="preserve"> over the last 7 days, </w:t>
      </w:r>
      <m:oMath>
        <m:r>
          <w:rPr>
            <w:rFonts w:ascii="Cambria Math" w:hAnsi="Cambria Math"/>
            <w:sz w:val="24"/>
            <w:szCs w:val="24"/>
          </w:rPr>
          <m:t>se</m:t>
        </m:r>
      </m:oMath>
      <w:r w:rsidRPr="00A72107">
        <w:rPr>
          <w:rFonts w:ascii="Times New Roman" w:hAnsi="Times New Roman"/>
          <w:bCs/>
          <w:sz w:val="24"/>
          <w:szCs w:val="24"/>
        </w:rPr>
        <w:t xml:space="preserve"> indicates sensitivity of antigen testing used on arrival at the airports in Japan and </w:t>
      </w:r>
      <m:oMath>
        <m:r>
          <w:rPr>
            <w:rFonts w:ascii="Cambria Math" w:hAnsi="Cambria Math"/>
            <w:sz w:val="24"/>
            <w:szCs w:val="24"/>
          </w:rPr>
          <m:t>ve</m:t>
        </m:r>
      </m:oMath>
      <w:r w:rsidRPr="00A72107">
        <w:rPr>
          <w:rFonts w:ascii="Times New Roman" w:hAnsi="Times New Roman"/>
          <w:bCs/>
          <w:sz w:val="24"/>
          <w:szCs w:val="24"/>
        </w:rPr>
        <w:t xml:space="preserve"> stands for vaccine effectiveness. It is assumed that at least 80% of foreign affiliated persons arriving in Japan will be fully vaccinated against SARS-CoV-2 infection by the time they arrive [1].</w:t>
      </w:r>
    </w:p>
    <w:p w14:paraId="0FBBA704" w14:textId="77777777" w:rsidR="00DC2A1D" w:rsidRDefault="00DC2A1D" w:rsidP="00DC2A1D">
      <w:pPr>
        <w:pStyle w:val="a4"/>
        <w:spacing w:line="300" w:lineRule="atLeast"/>
        <w:ind w:firstLine="480"/>
        <w:jc w:val="left"/>
        <w:rPr>
          <w:rFonts w:ascii="Times New Roman" w:hAnsi="Times New Roman"/>
          <w:bCs/>
          <w:sz w:val="24"/>
          <w:szCs w:val="24"/>
        </w:rPr>
      </w:pPr>
      <w:r w:rsidRPr="00A72107">
        <w:rPr>
          <w:rFonts w:ascii="Times New Roman" w:hAnsi="Times New Roman"/>
          <w:bCs/>
          <w:sz w:val="24"/>
          <w:szCs w:val="24"/>
        </w:rPr>
        <w:t xml:space="preserve">Similarly, we calculated the estimated number of cases among domestic Games accredited </w:t>
      </w:r>
      <w:r w:rsidRPr="00A72107">
        <w:rPr>
          <w:rFonts w:ascii="Times New Roman" w:hAnsi="Times New Roman"/>
          <w:bCs/>
          <w:sz w:val="24"/>
          <w:szCs w:val="24"/>
        </w:rPr>
        <w:lastRenderedPageBreak/>
        <w:t>individuals as: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852"/>
      </w:tblGrid>
      <w:tr w:rsidR="00DC2A1D" w14:paraId="00ACD0CF" w14:textId="77777777" w:rsidTr="00362CA9">
        <w:trPr>
          <w:trHeight w:val="814"/>
        </w:trPr>
        <w:tc>
          <w:tcPr>
            <w:tcW w:w="8730" w:type="dxa"/>
            <w:vAlign w:val="center"/>
          </w:tcPr>
          <w:p w14:paraId="2D02FAA1" w14:textId="7132F6A7" w:rsidR="00DC2A1D" w:rsidRDefault="00BF630E" w:rsidP="00DC2A1D">
            <w:pPr>
              <w:pStyle w:val="a5"/>
              <w:spacing w:before="120" w:after="120"/>
              <w:ind w:firstLine="0"/>
              <w:jc w:val="both"/>
            </w:pPr>
            <m:oMathPara>
              <m:oMath>
                <m:f>
                  <m:fPr>
                    <m:ctrlPr>
                      <w:rPr>
                        <w:rFonts w:ascii="Cambria Math" w:hAnsi="Cambria Math"/>
                        <w:iCs/>
                      </w:rPr>
                    </m:ctrlPr>
                  </m:fPr>
                  <m:num>
                    <m:sSub>
                      <m:sSubPr>
                        <m:ctrlPr>
                          <w:rPr>
                            <w:rFonts w:ascii="Cambria Math" w:hAnsi="Cambria Math"/>
                          </w:rPr>
                        </m:ctrlPr>
                      </m:sSubPr>
                      <m:e>
                        <m:r>
                          <w:rPr>
                            <w:rFonts w:ascii="Cambria Math" w:hAnsi="Cambria Math"/>
                          </w:rPr>
                          <m:t>N</m:t>
                        </m:r>
                      </m:e>
                      <m:sub>
                        <m:r>
                          <m:rPr>
                            <m:sty m:val="p"/>
                          </m:rPr>
                          <w:rPr>
                            <w:rFonts w:ascii="Cambria Math" w:hAnsi="Cambria Math"/>
                          </w:rPr>
                          <m:t>domestic</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1 dose, Tokyo</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ve</m:t>
                        </m:r>
                      </m:e>
                      <m:sub>
                        <m:r>
                          <m:rPr>
                            <m:sty m:val="p"/>
                          </m:rPr>
                          <w:rPr>
                            <w:rFonts w:ascii="Cambria Math" w:hAnsi="Cambria Math"/>
                          </w:rPr>
                          <m:t>1 dose</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2 doses, Tokyo</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ve</m:t>
                        </m:r>
                      </m:e>
                      <m:sub>
                        <m:r>
                          <m:rPr>
                            <m:sty m:val="p"/>
                          </m:rPr>
                          <w:rPr>
                            <w:rFonts w:ascii="Cambria Math" w:hAnsi="Cambria Math"/>
                          </w:rPr>
                          <m:t>2 doses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Tokyo,7 days</m:t>
                        </m:r>
                      </m:sub>
                    </m:sSub>
                  </m:num>
                  <m:den>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Tokyo</m:t>
                        </m:r>
                      </m:sub>
                    </m:sSub>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1 dose,Tokyo</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ve</m:t>
                            </m:r>
                          </m:e>
                          <m:sub>
                            <m:r>
                              <m:rPr>
                                <m:sty m:val="p"/>
                              </m:rPr>
                              <w:rPr>
                                <w:rFonts w:ascii="Cambria Math" w:hAnsi="Cambria Math"/>
                              </w:rPr>
                              <m:t>1 dose</m:t>
                            </m:r>
                          </m:sub>
                        </m:sSub>
                      </m:e>
                    </m:d>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2 doses,Tokyo</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ve</m:t>
                            </m:r>
                          </m:e>
                          <m:sub>
                            <m:r>
                              <m:rPr>
                                <m:sty m:val="p"/>
                              </m:rPr>
                              <w:rPr>
                                <w:rFonts w:ascii="Cambria Math" w:hAnsi="Cambria Math"/>
                              </w:rPr>
                              <m:t>2 doses</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recovered</m:t>
                        </m:r>
                      </m:e>
                      <m:sub>
                        <m:r>
                          <m:rPr>
                            <m:sty m:val="p"/>
                          </m:rPr>
                          <w:rPr>
                            <w:rFonts w:ascii="Cambria Math" w:hAnsi="Cambria Math"/>
                          </w:rPr>
                          <m:t>Tokyo</m:t>
                        </m:r>
                      </m:sub>
                    </m:sSub>
                  </m:den>
                </m:f>
              </m:oMath>
            </m:oMathPara>
          </w:p>
        </w:tc>
        <w:tc>
          <w:tcPr>
            <w:tcW w:w="852" w:type="dxa"/>
            <w:vAlign w:val="center"/>
          </w:tcPr>
          <w:p w14:paraId="6655B27A" w14:textId="77777777" w:rsidR="00DC2A1D" w:rsidRDefault="00DC2A1D" w:rsidP="00DC2A1D">
            <w:pPr>
              <w:pStyle w:val="a5"/>
              <w:spacing w:before="120" w:after="120"/>
              <w:ind w:firstLine="0"/>
              <w:jc w:val="both"/>
            </w:pPr>
            <w:r>
              <w:t>(S</w:t>
            </w:r>
            <w:fldSimple w:instr=" SEQ Equation \* ARABIC ">
              <w:r>
                <w:rPr>
                  <w:noProof/>
                </w:rPr>
                <w:t>5</w:t>
              </w:r>
            </w:fldSimple>
            <w:r>
              <w:t>)</w:t>
            </w:r>
          </w:p>
        </w:tc>
      </w:tr>
    </w:tbl>
    <w:p w14:paraId="00D34A8D" w14:textId="1C024C82" w:rsidR="00DC2A1D" w:rsidRDefault="00DC2A1D" w:rsidP="00DC2A1D">
      <w:pPr>
        <w:pStyle w:val="a4"/>
        <w:spacing w:line="300" w:lineRule="atLeast"/>
        <w:ind w:firstLine="480"/>
        <w:rPr>
          <w:rFonts w:ascii="Times New Roman" w:hAnsi="Times New Roman"/>
          <w:bCs/>
          <w:sz w:val="24"/>
          <w:szCs w:val="24"/>
        </w:rPr>
      </w:pPr>
      <w:r w:rsidRPr="00E60F2D">
        <w:rPr>
          <w:rFonts w:ascii="Times New Roman" w:hAnsi="Times New Roman"/>
          <w:bCs/>
          <w:sz w:val="24"/>
          <w:szCs w:val="24"/>
        </w:rPr>
        <w:t xml:space="preserve">and used national case and vaccination data to inform possibility of infection. Here, </w:t>
      </w:r>
      <m:oMath>
        <m:r>
          <w:rPr>
            <w:rFonts w:ascii="Cambria Math" w:hAnsi="Cambria Math"/>
            <w:sz w:val="24"/>
            <w:szCs w:val="24"/>
          </w:rPr>
          <m:t>v</m:t>
        </m:r>
      </m:oMath>
      <w:r w:rsidRPr="00E60F2D">
        <w:rPr>
          <w:rFonts w:ascii="Times New Roman" w:hAnsi="Times New Roman"/>
          <w:bCs/>
          <w:sz w:val="24"/>
          <w:szCs w:val="24"/>
        </w:rPr>
        <w:t xml:space="preserve"> represents the fraction of the population vaccinated. Vaccination was divided into 1-dose and 2-dose groups as vaccination in Japan </w:t>
      </w:r>
      <w:r w:rsidR="00EB73CF">
        <w:rPr>
          <w:rFonts w:ascii="Times New Roman" w:hAnsi="Times New Roman"/>
          <w:bCs/>
          <w:sz w:val="24"/>
          <w:szCs w:val="24"/>
        </w:rPr>
        <w:t>was</w:t>
      </w:r>
      <w:r w:rsidRPr="00E60F2D">
        <w:rPr>
          <w:rFonts w:ascii="Times New Roman" w:hAnsi="Times New Roman"/>
          <w:bCs/>
          <w:sz w:val="24"/>
          <w:szCs w:val="24"/>
        </w:rPr>
        <w:t xml:space="preserve"> limited to 2-dose mRNA vaccines developed by Pfizer-BioNTech and Moderna. As Tokyo tends (in general) to have more cases per 100,000 residents than the rest of the country, this may have led to an overestimate of the initial number of cases contributed from domestic Games </w:t>
      </w:r>
      <w:r>
        <w:rPr>
          <w:rFonts w:ascii="Times New Roman" w:hAnsi="Times New Roman"/>
          <w:bCs/>
          <w:sz w:val="24"/>
          <w:szCs w:val="24"/>
        </w:rPr>
        <w:t>accredited individuals</w:t>
      </w:r>
      <w:r w:rsidR="00EB73CF">
        <w:rPr>
          <w:rFonts w:ascii="Times New Roman" w:hAnsi="Times New Roman"/>
          <w:bCs/>
          <w:sz w:val="24"/>
          <w:szCs w:val="24"/>
        </w:rPr>
        <w:t>, but we assumed that many (if not the majority of) domestic participants would either be Tokyo residents or have come to Tokyo prior to the start of the Games</w:t>
      </w:r>
      <w:r w:rsidRPr="00E60F2D">
        <w:rPr>
          <w:rFonts w:ascii="Times New Roman" w:hAnsi="Times New Roman"/>
          <w:bCs/>
          <w:sz w:val="24"/>
          <w:szCs w:val="24"/>
        </w:rPr>
        <w:t xml:space="preserve">. Putting the numbers for foreign and domestic Games accredited individuals together, we obtained an estimate of the total number of possible cases among all Games accredited individuals. For simplicity, we assumed that infected persons would </w:t>
      </w:r>
      <w:r w:rsidR="00D963EC">
        <w:rPr>
          <w:rFonts w:ascii="Times New Roman" w:hAnsi="Times New Roman"/>
          <w:bCs/>
          <w:sz w:val="24"/>
          <w:szCs w:val="24"/>
        </w:rPr>
        <w:t>arrive starting in Generation 0</w:t>
      </w:r>
      <w:r w:rsidRPr="00E60F2D">
        <w:rPr>
          <w:rFonts w:ascii="Times New Roman" w:hAnsi="Times New Roman"/>
          <w:bCs/>
          <w:sz w:val="24"/>
          <w:szCs w:val="24"/>
        </w:rPr>
        <w:t>, thought the reality is much more complex, as some athletes and entourage will arrive in Japan for training even before July 16.</w:t>
      </w:r>
    </w:p>
    <w:p w14:paraId="44DFC34A" w14:textId="1F3DD5A5" w:rsidR="00DC2A1D" w:rsidRDefault="00DC2A1D" w:rsidP="00DC2A1D">
      <w:pPr>
        <w:pStyle w:val="a4"/>
        <w:spacing w:line="300" w:lineRule="atLeast"/>
        <w:ind w:firstLine="480"/>
        <w:rPr>
          <w:rFonts w:ascii="Times New Roman" w:hAnsi="Times New Roman"/>
          <w:bCs/>
          <w:sz w:val="24"/>
          <w:szCs w:val="24"/>
        </w:rPr>
      </w:pPr>
      <w:r w:rsidRPr="00E60F2D">
        <w:rPr>
          <w:rFonts w:ascii="Times New Roman" w:hAnsi="Times New Roman"/>
          <w:bCs/>
          <w:sz w:val="24"/>
          <w:szCs w:val="24"/>
        </w:rPr>
        <w:t xml:space="preserve">Domestic spectators, </w:t>
      </w:r>
      <w:r w:rsidR="00D963EC">
        <w:rPr>
          <w:rFonts w:ascii="Times New Roman" w:hAnsi="Times New Roman"/>
          <w:bCs/>
          <w:sz w:val="24"/>
          <w:szCs w:val="24"/>
        </w:rPr>
        <w:t>had</w:t>
      </w:r>
      <w:r w:rsidR="00D963EC" w:rsidRPr="00E60F2D">
        <w:rPr>
          <w:rFonts w:ascii="Times New Roman" w:hAnsi="Times New Roman"/>
          <w:bCs/>
          <w:sz w:val="24"/>
          <w:szCs w:val="24"/>
        </w:rPr>
        <w:t xml:space="preserve"> </w:t>
      </w:r>
      <w:r w:rsidRPr="00E60F2D">
        <w:rPr>
          <w:rFonts w:ascii="Times New Roman" w:hAnsi="Times New Roman"/>
          <w:bCs/>
          <w:sz w:val="24"/>
          <w:szCs w:val="24"/>
        </w:rPr>
        <w:t xml:space="preserve">they </w:t>
      </w:r>
      <w:r w:rsidR="00D963EC">
        <w:rPr>
          <w:rFonts w:ascii="Times New Roman" w:hAnsi="Times New Roman"/>
          <w:bCs/>
          <w:sz w:val="24"/>
          <w:szCs w:val="24"/>
        </w:rPr>
        <w:t xml:space="preserve">been </w:t>
      </w:r>
      <w:r w:rsidRPr="00E60F2D">
        <w:rPr>
          <w:rFonts w:ascii="Times New Roman" w:hAnsi="Times New Roman"/>
          <w:bCs/>
          <w:sz w:val="24"/>
          <w:szCs w:val="24"/>
        </w:rPr>
        <w:t>allowed to attend, would have arrived from all over Japan. We calculated the daily number of spectators for each generation by multiplying the maximum number of spectators allowed for each venue (50% of capacity for smaller venues, 10,000 for larger venues and 20,000 for the Olympic Stadium) by the number of events in that venue each day and summing over all days in each generation. Thus, the initial number of cases among spectators is calculated as:</w:t>
      </w:r>
    </w:p>
    <w:tbl>
      <w:tblPr>
        <w:tblStyle w:val="a3"/>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4"/>
        <w:gridCol w:w="828"/>
      </w:tblGrid>
      <w:tr w:rsidR="00DC2A1D" w14:paraId="34ACBD04" w14:textId="77777777" w:rsidTr="00362CA9">
        <w:trPr>
          <w:trHeight w:val="619"/>
        </w:trPr>
        <w:tc>
          <w:tcPr>
            <w:tcW w:w="8754" w:type="dxa"/>
            <w:vAlign w:val="center"/>
          </w:tcPr>
          <w:p w14:paraId="5753B878" w14:textId="1CA08EB9" w:rsidR="00DC2A1D" w:rsidRDefault="00BF630E" w:rsidP="00DC2A1D">
            <w:pPr>
              <w:pStyle w:val="a5"/>
              <w:spacing w:before="120" w:after="120"/>
              <w:ind w:firstLine="0"/>
              <w:jc w:val="center"/>
            </w:pPr>
            <m:oMathPara>
              <m:oMath>
                <m:f>
                  <m:fPr>
                    <m:ctrlPr>
                      <w:rPr>
                        <w:rFonts w:ascii="Cambria Math" w:hAnsi="Cambria Math"/>
                        <w:iCs/>
                      </w:rPr>
                    </m:ctrlPr>
                  </m:fPr>
                  <m:num>
                    <m:sSub>
                      <m:sSubPr>
                        <m:ctrlPr>
                          <w:rPr>
                            <w:rFonts w:ascii="Cambria Math" w:hAnsi="Cambria Math"/>
                          </w:rPr>
                        </m:ctrlPr>
                      </m:sSubPr>
                      <m:e>
                        <m:r>
                          <w:rPr>
                            <w:rFonts w:ascii="Cambria Math" w:hAnsi="Cambria Math"/>
                          </w:rPr>
                          <m:t>N</m:t>
                        </m:r>
                      </m:e>
                      <m:sub>
                        <m:r>
                          <m:rPr>
                            <m:sty m:val="p"/>
                          </m:rPr>
                          <w:rPr>
                            <w:rFonts w:ascii="Cambria Math" w:hAnsi="Cambria Math"/>
                          </w:rPr>
                          <m:t>spectators</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1 dose, Japan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ve</m:t>
                        </m:r>
                      </m:e>
                      <m:sub>
                        <m:r>
                          <m:rPr>
                            <m:sty m:val="p"/>
                          </m:rPr>
                          <w:rPr>
                            <w:rFonts w:ascii="Cambria Math" w:hAnsi="Cambria Math"/>
                          </w:rPr>
                          <m:t>1 dose</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2 doses, Japan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ve</m:t>
                        </m:r>
                      </m:e>
                      <m:sub>
                        <m:r>
                          <m:rPr>
                            <m:sty m:val="p"/>
                          </m:rPr>
                          <w:rPr>
                            <w:rFonts w:ascii="Cambria Math" w:hAnsi="Cambria Math"/>
                          </w:rPr>
                          <m:t>2 doses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Japan,7 days</m:t>
                        </m:r>
                      </m:sub>
                    </m:sSub>
                  </m:num>
                  <m:den>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Japan</m:t>
                        </m:r>
                      </m:sub>
                    </m:sSub>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1 dose,Japan</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ve</m:t>
                            </m:r>
                          </m:e>
                          <m:sub>
                            <m:r>
                              <m:rPr>
                                <m:sty m:val="p"/>
                              </m:rPr>
                              <w:rPr>
                                <w:rFonts w:ascii="Cambria Math" w:hAnsi="Cambria Math"/>
                              </w:rPr>
                              <m:t>1 dose</m:t>
                            </m:r>
                          </m:sub>
                        </m:sSub>
                      </m:e>
                    </m:d>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2 doses,Japan</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ve</m:t>
                            </m:r>
                          </m:e>
                          <m:sub>
                            <m:r>
                              <m:rPr>
                                <m:sty m:val="p"/>
                              </m:rPr>
                              <w:rPr>
                                <w:rFonts w:ascii="Cambria Math" w:hAnsi="Cambria Math"/>
                              </w:rPr>
                              <m:t>2 doses</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recovered</m:t>
                        </m:r>
                      </m:e>
                      <m:sub>
                        <m:r>
                          <m:rPr>
                            <m:sty m:val="p"/>
                          </m:rPr>
                          <w:rPr>
                            <w:rFonts w:ascii="Cambria Math" w:hAnsi="Cambria Math"/>
                          </w:rPr>
                          <m:t>Japan</m:t>
                        </m:r>
                      </m:sub>
                    </m:sSub>
                  </m:den>
                </m:f>
                <m:r>
                  <w:rPr>
                    <w:rFonts w:ascii="Cambria Math" w:hAnsi="Cambria Math"/>
                  </w:rPr>
                  <m:t>.</m:t>
                </m:r>
              </m:oMath>
            </m:oMathPara>
          </w:p>
        </w:tc>
        <w:tc>
          <w:tcPr>
            <w:tcW w:w="828" w:type="dxa"/>
            <w:vAlign w:val="center"/>
          </w:tcPr>
          <w:p w14:paraId="41D8C93B" w14:textId="77777777" w:rsidR="00DC2A1D" w:rsidRDefault="00DC2A1D" w:rsidP="00DC2A1D">
            <w:pPr>
              <w:pStyle w:val="a5"/>
              <w:spacing w:before="120" w:after="120"/>
              <w:ind w:hanging="20"/>
              <w:jc w:val="center"/>
            </w:pPr>
            <w:r>
              <w:t>(S</w:t>
            </w:r>
            <w:fldSimple w:instr=" SEQ Equation \* ARABIC ">
              <w:r>
                <w:rPr>
                  <w:noProof/>
                </w:rPr>
                <w:t>6</w:t>
              </w:r>
            </w:fldSimple>
            <w:r>
              <w:t>)</w:t>
            </w:r>
          </w:p>
        </w:tc>
      </w:tr>
    </w:tbl>
    <w:p w14:paraId="61DC2176" w14:textId="77777777" w:rsidR="00DC2A1D" w:rsidRDefault="00DC2A1D" w:rsidP="00DC2A1D">
      <w:pPr>
        <w:pStyle w:val="a4"/>
        <w:spacing w:line="300" w:lineRule="atLeast"/>
        <w:ind w:firstLine="480"/>
        <w:rPr>
          <w:rFonts w:ascii="Times New Roman" w:hAnsi="Times New Roman"/>
          <w:bCs/>
          <w:sz w:val="24"/>
          <w:szCs w:val="24"/>
        </w:rPr>
      </w:pPr>
      <w:r w:rsidRPr="00E60F2D">
        <w:rPr>
          <w:rFonts w:ascii="Times New Roman" w:hAnsi="Times New Roman"/>
          <w:bCs/>
          <w:sz w:val="24"/>
          <w:szCs w:val="24"/>
        </w:rPr>
        <w:t>Finally, we also considered the initial number of cases (incidence of infection) among the Tokyo population. This was set as a given average number of cases over a 7-day period to reflect the methods used above, and the number of cases per day was varied between 1,200, 1,500, and 1,800.</w:t>
      </w:r>
    </w:p>
    <w:p w14:paraId="54FC91FE" w14:textId="1DAAB55B" w:rsidR="00DC2A1D" w:rsidRPr="009439B0" w:rsidRDefault="00DC2A1D" w:rsidP="00DC2A1D">
      <w:pPr>
        <w:pStyle w:val="a4"/>
        <w:spacing w:beforeLines="100" w:before="332" w:after="120" w:line="300" w:lineRule="atLeast"/>
        <w:ind w:left="567" w:right="567" w:firstLineChars="0" w:firstLine="0"/>
        <w:rPr>
          <w:rFonts w:ascii="Times New Roman" w:hAnsi="Times New Roman"/>
          <w:b/>
          <w:sz w:val="24"/>
          <w:szCs w:val="24"/>
        </w:rPr>
      </w:pPr>
      <w:r w:rsidRPr="009439B0">
        <w:rPr>
          <w:rFonts w:ascii="Times New Roman" w:hAnsi="Times New Roman"/>
          <w:b/>
          <w:sz w:val="24"/>
          <w:szCs w:val="24"/>
        </w:rPr>
        <w:t xml:space="preserve">Supplementary Table 1. </w:t>
      </w:r>
      <w:r w:rsidRPr="00DC2A1D">
        <w:rPr>
          <w:rFonts w:ascii="Times New Roman" w:hAnsi="Times New Roman"/>
          <w:bCs/>
          <w:sz w:val="24"/>
          <w:szCs w:val="24"/>
        </w:rPr>
        <w:t>Parameters used to estimate the initial number of cases for the multitype branching process model.</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1530"/>
        <w:gridCol w:w="1536"/>
        <w:gridCol w:w="1298"/>
      </w:tblGrid>
      <w:tr w:rsidR="00DC2A1D" w:rsidRPr="00D94A4E" w14:paraId="2305FA59" w14:textId="77777777" w:rsidTr="00362CA9">
        <w:trPr>
          <w:jc w:val="center"/>
        </w:trPr>
        <w:tc>
          <w:tcPr>
            <w:tcW w:w="4140" w:type="dxa"/>
            <w:tcBorders>
              <w:top w:val="single" w:sz="6" w:space="0" w:color="auto"/>
              <w:bottom w:val="single" w:sz="6" w:space="0" w:color="auto"/>
            </w:tcBorders>
          </w:tcPr>
          <w:p w14:paraId="6EF6FF0E" w14:textId="77777777" w:rsidR="00DC2A1D" w:rsidRPr="00464AC9" w:rsidRDefault="00DC2A1D" w:rsidP="00362CA9">
            <w:pPr>
              <w:pStyle w:val="a6"/>
              <w:rPr>
                <w:b/>
                <w:bCs/>
              </w:rPr>
            </w:pPr>
            <w:r w:rsidRPr="00464AC9">
              <w:rPr>
                <w:b/>
                <w:bCs/>
              </w:rPr>
              <w:t>Data point</w:t>
            </w:r>
          </w:p>
        </w:tc>
        <w:tc>
          <w:tcPr>
            <w:tcW w:w="1530" w:type="dxa"/>
            <w:tcBorders>
              <w:top w:val="single" w:sz="6" w:space="0" w:color="auto"/>
              <w:bottom w:val="single" w:sz="6" w:space="0" w:color="auto"/>
            </w:tcBorders>
          </w:tcPr>
          <w:p w14:paraId="14A3A178" w14:textId="77777777" w:rsidR="00DC2A1D" w:rsidRPr="00464AC9" w:rsidRDefault="00DC2A1D" w:rsidP="00362CA9">
            <w:pPr>
              <w:pStyle w:val="a6"/>
              <w:rPr>
                <w:b/>
                <w:bCs/>
              </w:rPr>
            </w:pPr>
            <w:r w:rsidRPr="00464AC9">
              <w:rPr>
                <w:b/>
                <w:bCs/>
              </w:rPr>
              <w:t>Value</w:t>
            </w:r>
          </w:p>
        </w:tc>
        <w:tc>
          <w:tcPr>
            <w:tcW w:w="1536" w:type="dxa"/>
            <w:tcBorders>
              <w:top w:val="single" w:sz="6" w:space="0" w:color="auto"/>
              <w:bottom w:val="single" w:sz="6" w:space="0" w:color="auto"/>
            </w:tcBorders>
          </w:tcPr>
          <w:p w14:paraId="647622ED" w14:textId="77777777" w:rsidR="00DC2A1D" w:rsidRPr="00464AC9" w:rsidRDefault="00DC2A1D" w:rsidP="00362CA9">
            <w:pPr>
              <w:pStyle w:val="a6"/>
              <w:rPr>
                <w:b/>
                <w:bCs/>
              </w:rPr>
            </w:pPr>
            <w:r w:rsidRPr="00464AC9">
              <w:rPr>
                <w:b/>
                <w:bCs/>
              </w:rPr>
              <w:t>Source</w:t>
            </w:r>
          </w:p>
        </w:tc>
        <w:tc>
          <w:tcPr>
            <w:tcW w:w="1298" w:type="dxa"/>
            <w:tcBorders>
              <w:top w:val="single" w:sz="6" w:space="0" w:color="auto"/>
              <w:bottom w:val="single" w:sz="6" w:space="0" w:color="auto"/>
            </w:tcBorders>
          </w:tcPr>
          <w:p w14:paraId="2326CFFE" w14:textId="77777777" w:rsidR="00DC2A1D" w:rsidRPr="00464AC9" w:rsidRDefault="00DC2A1D" w:rsidP="00362CA9">
            <w:pPr>
              <w:pStyle w:val="a6"/>
              <w:rPr>
                <w:b/>
                <w:bCs/>
              </w:rPr>
            </w:pPr>
            <w:r w:rsidRPr="00464AC9">
              <w:rPr>
                <w:b/>
                <w:bCs/>
              </w:rPr>
              <w:t>Data date</w:t>
            </w:r>
          </w:p>
        </w:tc>
      </w:tr>
      <w:tr w:rsidR="00DC2A1D" w:rsidRPr="00D94A4E" w14:paraId="34C2F044" w14:textId="77777777" w:rsidTr="00362CA9">
        <w:trPr>
          <w:jc w:val="center"/>
        </w:trPr>
        <w:tc>
          <w:tcPr>
            <w:tcW w:w="4140" w:type="dxa"/>
            <w:tcBorders>
              <w:top w:val="single" w:sz="6" w:space="0" w:color="auto"/>
            </w:tcBorders>
          </w:tcPr>
          <w:p w14:paraId="3761EF37" w14:textId="77777777" w:rsidR="00DC2A1D" w:rsidRPr="0040095A" w:rsidRDefault="00DC2A1D" w:rsidP="00362CA9">
            <w:pPr>
              <w:pStyle w:val="a6"/>
            </w:pPr>
            <w:r w:rsidRPr="0040095A">
              <w:t>Population, world</w:t>
            </w:r>
          </w:p>
        </w:tc>
        <w:tc>
          <w:tcPr>
            <w:tcW w:w="1530" w:type="dxa"/>
            <w:tcBorders>
              <w:top w:val="single" w:sz="6" w:space="0" w:color="auto"/>
            </w:tcBorders>
          </w:tcPr>
          <w:p w14:paraId="4322E460" w14:textId="77777777" w:rsidR="00DC2A1D" w:rsidRPr="00F16293" w:rsidRDefault="00DC2A1D" w:rsidP="00362CA9">
            <w:pPr>
              <w:pStyle w:val="a6"/>
            </w:pPr>
            <w:r w:rsidRPr="00F16293">
              <w:t>7.</w:t>
            </w:r>
            <w:r>
              <w:t>9</w:t>
            </w:r>
            <w:r w:rsidRPr="00F16293">
              <w:t xml:space="preserve"> billion</w:t>
            </w:r>
          </w:p>
        </w:tc>
        <w:tc>
          <w:tcPr>
            <w:tcW w:w="1536" w:type="dxa"/>
            <w:tcBorders>
              <w:top w:val="single" w:sz="6" w:space="0" w:color="auto"/>
            </w:tcBorders>
          </w:tcPr>
          <w:p w14:paraId="2CA01716" w14:textId="77777777" w:rsidR="00DC2A1D" w:rsidRPr="00F16293" w:rsidRDefault="00DC2A1D" w:rsidP="00362CA9">
            <w:pPr>
              <w:pStyle w:val="a6"/>
            </w:pPr>
            <w:r w:rsidRPr="00F16293">
              <w:t>OWID</w:t>
            </w:r>
          </w:p>
        </w:tc>
        <w:tc>
          <w:tcPr>
            <w:tcW w:w="1298" w:type="dxa"/>
            <w:tcBorders>
              <w:top w:val="single" w:sz="6" w:space="0" w:color="auto"/>
            </w:tcBorders>
          </w:tcPr>
          <w:p w14:paraId="14A2632A" w14:textId="77777777" w:rsidR="00DC2A1D" w:rsidRPr="00F16293" w:rsidRDefault="00DC2A1D" w:rsidP="00362CA9">
            <w:pPr>
              <w:pStyle w:val="a6"/>
            </w:pPr>
            <w:r w:rsidRPr="00F16293">
              <w:t>2021-07-15</w:t>
            </w:r>
          </w:p>
        </w:tc>
      </w:tr>
      <w:tr w:rsidR="00DC2A1D" w:rsidRPr="00D94A4E" w14:paraId="7EEE6FE1" w14:textId="77777777" w:rsidTr="00362CA9">
        <w:trPr>
          <w:jc w:val="center"/>
        </w:trPr>
        <w:tc>
          <w:tcPr>
            <w:tcW w:w="4140" w:type="dxa"/>
          </w:tcPr>
          <w:p w14:paraId="35882869" w14:textId="77777777" w:rsidR="00DC2A1D" w:rsidRPr="0040095A" w:rsidRDefault="00DC2A1D" w:rsidP="00362CA9">
            <w:pPr>
              <w:pStyle w:val="a6"/>
            </w:pPr>
            <w:r w:rsidRPr="0040095A">
              <w:t>Population, Japan</w:t>
            </w:r>
          </w:p>
        </w:tc>
        <w:tc>
          <w:tcPr>
            <w:tcW w:w="1530" w:type="dxa"/>
          </w:tcPr>
          <w:p w14:paraId="43831777" w14:textId="77777777" w:rsidR="00DC2A1D" w:rsidRPr="00F16293" w:rsidRDefault="00DC2A1D" w:rsidP="00362CA9">
            <w:pPr>
              <w:pStyle w:val="a6"/>
            </w:pPr>
            <w:r w:rsidRPr="00F16293">
              <w:t>126</w:t>
            </w:r>
            <w:r>
              <w:t>.1</w:t>
            </w:r>
            <w:r w:rsidRPr="00F16293">
              <w:t xml:space="preserve"> million</w:t>
            </w:r>
          </w:p>
        </w:tc>
        <w:tc>
          <w:tcPr>
            <w:tcW w:w="1536" w:type="dxa"/>
          </w:tcPr>
          <w:p w14:paraId="17280979" w14:textId="77777777" w:rsidR="00DC2A1D" w:rsidRPr="00F16293" w:rsidRDefault="00DC2A1D" w:rsidP="00362CA9">
            <w:pPr>
              <w:pStyle w:val="a6"/>
            </w:pPr>
            <w:r w:rsidRPr="00F16293">
              <w:t>OWID</w:t>
            </w:r>
          </w:p>
        </w:tc>
        <w:tc>
          <w:tcPr>
            <w:tcW w:w="1298" w:type="dxa"/>
          </w:tcPr>
          <w:p w14:paraId="7600273E" w14:textId="77777777" w:rsidR="00DC2A1D" w:rsidRPr="00F16293" w:rsidRDefault="00DC2A1D" w:rsidP="00362CA9">
            <w:pPr>
              <w:pStyle w:val="a6"/>
            </w:pPr>
            <w:r w:rsidRPr="00F16293">
              <w:t>2021-07-15</w:t>
            </w:r>
          </w:p>
        </w:tc>
      </w:tr>
      <w:tr w:rsidR="00DC2A1D" w:rsidRPr="00D94A4E" w14:paraId="37C44F12" w14:textId="77777777" w:rsidTr="00362CA9">
        <w:trPr>
          <w:jc w:val="center"/>
        </w:trPr>
        <w:tc>
          <w:tcPr>
            <w:tcW w:w="4140" w:type="dxa"/>
          </w:tcPr>
          <w:p w14:paraId="1C46FC68" w14:textId="77777777" w:rsidR="00DC2A1D" w:rsidRPr="0040095A" w:rsidRDefault="00DC2A1D" w:rsidP="00362CA9">
            <w:pPr>
              <w:pStyle w:val="a6"/>
            </w:pPr>
            <w:r w:rsidRPr="0040095A">
              <w:t>Total cases over last 7 days, world</w:t>
            </w:r>
          </w:p>
        </w:tc>
        <w:tc>
          <w:tcPr>
            <w:tcW w:w="1530" w:type="dxa"/>
          </w:tcPr>
          <w:p w14:paraId="6A4DEA62" w14:textId="77777777" w:rsidR="00DC2A1D" w:rsidRPr="00F16293" w:rsidRDefault="00DC2A1D" w:rsidP="00362CA9">
            <w:pPr>
              <w:pStyle w:val="a6"/>
            </w:pPr>
            <w:r w:rsidRPr="00F16293">
              <w:t>3.</w:t>
            </w:r>
            <w:r>
              <w:t>3</w:t>
            </w:r>
            <w:r w:rsidRPr="00F16293">
              <w:t xml:space="preserve"> million</w:t>
            </w:r>
          </w:p>
        </w:tc>
        <w:tc>
          <w:tcPr>
            <w:tcW w:w="1536" w:type="dxa"/>
          </w:tcPr>
          <w:p w14:paraId="4A25B22E" w14:textId="77777777" w:rsidR="00DC2A1D" w:rsidRPr="00F16293" w:rsidRDefault="00DC2A1D" w:rsidP="00362CA9">
            <w:pPr>
              <w:pStyle w:val="a6"/>
            </w:pPr>
            <w:r w:rsidRPr="00F16293">
              <w:t>OWID</w:t>
            </w:r>
          </w:p>
        </w:tc>
        <w:tc>
          <w:tcPr>
            <w:tcW w:w="1298" w:type="dxa"/>
          </w:tcPr>
          <w:p w14:paraId="23315CDD" w14:textId="77777777" w:rsidR="00DC2A1D" w:rsidRPr="00F16293" w:rsidRDefault="00DC2A1D" w:rsidP="00362CA9">
            <w:pPr>
              <w:pStyle w:val="a6"/>
            </w:pPr>
            <w:r w:rsidRPr="00F16293">
              <w:t>2021-07-15</w:t>
            </w:r>
          </w:p>
        </w:tc>
      </w:tr>
      <w:tr w:rsidR="00DC2A1D" w:rsidRPr="00D94A4E" w14:paraId="6EEC8221" w14:textId="77777777" w:rsidTr="00362CA9">
        <w:trPr>
          <w:jc w:val="center"/>
        </w:trPr>
        <w:tc>
          <w:tcPr>
            <w:tcW w:w="4140" w:type="dxa"/>
          </w:tcPr>
          <w:p w14:paraId="011A35A4" w14:textId="77777777" w:rsidR="00DC2A1D" w:rsidRPr="0040095A" w:rsidRDefault="00DC2A1D" w:rsidP="00362CA9">
            <w:pPr>
              <w:pStyle w:val="a6"/>
            </w:pPr>
            <w:r w:rsidRPr="0040095A">
              <w:t>Total cases over last 7 days, Japan</w:t>
            </w:r>
          </w:p>
        </w:tc>
        <w:tc>
          <w:tcPr>
            <w:tcW w:w="1530" w:type="dxa"/>
          </w:tcPr>
          <w:p w14:paraId="65888EB8" w14:textId="77777777" w:rsidR="00DC2A1D" w:rsidRPr="00F16293" w:rsidRDefault="00DC2A1D" w:rsidP="00362CA9">
            <w:pPr>
              <w:pStyle w:val="a6"/>
            </w:pPr>
            <w:r>
              <w:t>16 thousand</w:t>
            </w:r>
          </w:p>
        </w:tc>
        <w:tc>
          <w:tcPr>
            <w:tcW w:w="1536" w:type="dxa"/>
          </w:tcPr>
          <w:p w14:paraId="42D82740" w14:textId="77777777" w:rsidR="00DC2A1D" w:rsidRPr="00F16293" w:rsidRDefault="00DC2A1D" w:rsidP="00362CA9">
            <w:pPr>
              <w:pStyle w:val="a6"/>
            </w:pPr>
            <w:r w:rsidRPr="00F16293">
              <w:t>OWID</w:t>
            </w:r>
          </w:p>
        </w:tc>
        <w:tc>
          <w:tcPr>
            <w:tcW w:w="1298" w:type="dxa"/>
          </w:tcPr>
          <w:p w14:paraId="79669199" w14:textId="77777777" w:rsidR="00DC2A1D" w:rsidRPr="00F16293" w:rsidRDefault="00DC2A1D" w:rsidP="00362CA9">
            <w:pPr>
              <w:pStyle w:val="a6"/>
            </w:pPr>
            <w:r w:rsidRPr="00F16293">
              <w:t>2021-07-15</w:t>
            </w:r>
          </w:p>
        </w:tc>
      </w:tr>
      <w:tr w:rsidR="00DC2A1D" w:rsidRPr="00D94A4E" w14:paraId="1645581C" w14:textId="77777777" w:rsidTr="00362CA9">
        <w:trPr>
          <w:jc w:val="center"/>
        </w:trPr>
        <w:tc>
          <w:tcPr>
            <w:tcW w:w="4140" w:type="dxa"/>
          </w:tcPr>
          <w:p w14:paraId="02492D65" w14:textId="77777777" w:rsidR="00DC2A1D" w:rsidRPr="00F16293" w:rsidRDefault="00DC2A1D" w:rsidP="00362CA9">
            <w:pPr>
              <w:pStyle w:val="a6"/>
            </w:pPr>
            <w:r w:rsidRPr="0040095A">
              <w:t xml:space="preserve">Number </w:t>
            </w:r>
            <w:proofErr w:type="gramStart"/>
            <w:r w:rsidRPr="00F16293">
              <w:t>vaccinated,*</w:t>
            </w:r>
            <w:proofErr w:type="gramEnd"/>
            <w:r w:rsidRPr="00F16293">
              <w:t xml:space="preserve"> worldwide</w:t>
            </w:r>
          </w:p>
        </w:tc>
        <w:tc>
          <w:tcPr>
            <w:tcW w:w="1530" w:type="dxa"/>
          </w:tcPr>
          <w:p w14:paraId="4C5F237A" w14:textId="77777777" w:rsidR="00DC2A1D" w:rsidRPr="00F16293" w:rsidRDefault="00DC2A1D" w:rsidP="00362CA9">
            <w:pPr>
              <w:pStyle w:val="a6"/>
            </w:pPr>
            <w:r w:rsidRPr="00F16293">
              <w:t>2.</w:t>
            </w:r>
            <w:r>
              <w:t>0</w:t>
            </w:r>
            <w:r w:rsidRPr="00F16293">
              <w:t xml:space="preserve"> billion</w:t>
            </w:r>
          </w:p>
        </w:tc>
        <w:tc>
          <w:tcPr>
            <w:tcW w:w="1536" w:type="dxa"/>
          </w:tcPr>
          <w:p w14:paraId="78E0EA78" w14:textId="77777777" w:rsidR="00DC2A1D" w:rsidRPr="00F16293" w:rsidRDefault="00DC2A1D" w:rsidP="00362CA9">
            <w:pPr>
              <w:pStyle w:val="a6"/>
            </w:pPr>
            <w:r w:rsidRPr="00F16293">
              <w:t>OWID</w:t>
            </w:r>
          </w:p>
        </w:tc>
        <w:tc>
          <w:tcPr>
            <w:tcW w:w="1298" w:type="dxa"/>
          </w:tcPr>
          <w:p w14:paraId="678FE4B1" w14:textId="77777777" w:rsidR="00DC2A1D" w:rsidRPr="00F16293" w:rsidRDefault="00DC2A1D" w:rsidP="00362CA9">
            <w:pPr>
              <w:pStyle w:val="a6"/>
            </w:pPr>
            <w:r w:rsidRPr="00F16293">
              <w:t>2021-07-15</w:t>
            </w:r>
          </w:p>
        </w:tc>
      </w:tr>
      <w:tr w:rsidR="00DC2A1D" w:rsidRPr="00D94A4E" w14:paraId="10338751" w14:textId="77777777" w:rsidTr="00362CA9">
        <w:trPr>
          <w:jc w:val="center"/>
        </w:trPr>
        <w:tc>
          <w:tcPr>
            <w:tcW w:w="4140" w:type="dxa"/>
          </w:tcPr>
          <w:p w14:paraId="7D51DCAC" w14:textId="77777777" w:rsidR="00DC2A1D" w:rsidRPr="00F16293" w:rsidRDefault="00DC2A1D" w:rsidP="00362CA9">
            <w:pPr>
              <w:pStyle w:val="a6"/>
            </w:pPr>
            <w:r w:rsidRPr="0040095A">
              <w:t xml:space="preserve">Number </w:t>
            </w:r>
            <w:r w:rsidRPr="00F16293">
              <w:t>with 1 dose of vaccine, Japan</w:t>
            </w:r>
          </w:p>
        </w:tc>
        <w:tc>
          <w:tcPr>
            <w:tcW w:w="1530" w:type="dxa"/>
          </w:tcPr>
          <w:p w14:paraId="488B9CA8" w14:textId="77777777" w:rsidR="00DC2A1D" w:rsidRPr="00F16293" w:rsidRDefault="00DC2A1D" w:rsidP="00362CA9">
            <w:pPr>
              <w:pStyle w:val="a6"/>
            </w:pPr>
            <w:r w:rsidRPr="00F16293">
              <w:t>1</w:t>
            </w:r>
            <w:r>
              <w:t>6.4</w:t>
            </w:r>
            <w:r w:rsidRPr="00F16293">
              <w:t xml:space="preserve"> million</w:t>
            </w:r>
          </w:p>
        </w:tc>
        <w:tc>
          <w:tcPr>
            <w:tcW w:w="1536" w:type="dxa"/>
          </w:tcPr>
          <w:p w14:paraId="2F05C1B5" w14:textId="77777777" w:rsidR="00DC2A1D" w:rsidRPr="00F16293" w:rsidRDefault="00DC2A1D" w:rsidP="00362CA9">
            <w:pPr>
              <w:pStyle w:val="a6"/>
            </w:pPr>
            <w:r w:rsidRPr="00F16293">
              <w:t>OWID</w:t>
            </w:r>
          </w:p>
        </w:tc>
        <w:tc>
          <w:tcPr>
            <w:tcW w:w="1298" w:type="dxa"/>
          </w:tcPr>
          <w:p w14:paraId="0AE50D15" w14:textId="77777777" w:rsidR="00DC2A1D" w:rsidRPr="00F16293" w:rsidRDefault="00DC2A1D" w:rsidP="00362CA9">
            <w:pPr>
              <w:pStyle w:val="a6"/>
            </w:pPr>
            <w:r w:rsidRPr="00F16293">
              <w:t>2021-07-15</w:t>
            </w:r>
          </w:p>
        </w:tc>
      </w:tr>
      <w:tr w:rsidR="00DC2A1D" w:rsidRPr="00D94A4E" w14:paraId="2C3A697A" w14:textId="77777777" w:rsidTr="00362CA9">
        <w:trPr>
          <w:jc w:val="center"/>
        </w:trPr>
        <w:tc>
          <w:tcPr>
            <w:tcW w:w="4140" w:type="dxa"/>
          </w:tcPr>
          <w:p w14:paraId="23DAFA1B" w14:textId="77777777" w:rsidR="00DC2A1D" w:rsidRPr="00F16293" w:rsidRDefault="00DC2A1D" w:rsidP="00362CA9">
            <w:pPr>
              <w:pStyle w:val="a6"/>
            </w:pPr>
            <w:r w:rsidRPr="0040095A">
              <w:t xml:space="preserve">Number </w:t>
            </w:r>
            <w:r w:rsidRPr="00F16293">
              <w:t>with 2 doses of vaccine, Japan</w:t>
            </w:r>
          </w:p>
        </w:tc>
        <w:tc>
          <w:tcPr>
            <w:tcW w:w="1530" w:type="dxa"/>
          </w:tcPr>
          <w:p w14:paraId="22B9A2D2" w14:textId="77777777" w:rsidR="00DC2A1D" w:rsidRPr="00F16293" w:rsidRDefault="00DC2A1D" w:rsidP="00362CA9">
            <w:pPr>
              <w:pStyle w:val="a6"/>
            </w:pPr>
            <w:r>
              <w:t>27</w:t>
            </w:r>
            <w:r w:rsidRPr="00F16293">
              <w:t>.</w:t>
            </w:r>
            <w:r>
              <w:t>5</w:t>
            </w:r>
            <w:r w:rsidRPr="00F16293">
              <w:t xml:space="preserve"> million</w:t>
            </w:r>
          </w:p>
        </w:tc>
        <w:tc>
          <w:tcPr>
            <w:tcW w:w="1536" w:type="dxa"/>
          </w:tcPr>
          <w:p w14:paraId="46A810EE" w14:textId="77777777" w:rsidR="00DC2A1D" w:rsidRPr="00F16293" w:rsidRDefault="00DC2A1D" w:rsidP="00362CA9">
            <w:pPr>
              <w:pStyle w:val="a6"/>
            </w:pPr>
            <w:r w:rsidRPr="00F16293">
              <w:t>OWID</w:t>
            </w:r>
          </w:p>
        </w:tc>
        <w:tc>
          <w:tcPr>
            <w:tcW w:w="1298" w:type="dxa"/>
          </w:tcPr>
          <w:p w14:paraId="389E4E9B" w14:textId="77777777" w:rsidR="00DC2A1D" w:rsidRPr="00F16293" w:rsidRDefault="00DC2A1D" w:rsidP="00362CA9">
            <w:pPr>
              <w:pStyle w:val="a6"/>
            </w:pPr>
            <w:r w:rsidRPr="00F16293">
              <w:t>2021-07-15</w:t>
            </w:r>
          </w:p>
        </w:tc>
      </w:tr>
      <w:tr w:rsidR="00DC2A1D" w:rsidRPr="00D94A4E" w14:paraId="759FC82C" w14:textId="77777777" w:rsidTr="00362CA9">
        <w:trPr>
          <w:jc w:val="center"/>
        </w:trPr>
        <w:tc>
          <w:tcPr>
            <w:tcW w:w="4140" w:type="dxa"/>
          </w:tcPr>
          <w:p w14:paraId="57ED26A4" w14:textId="77777777" w:rsidR="00DC2A1D" w:rsidRPr="00F16293" w:rsidRDefault="00DC2A1D" w:rsidP="00362CA9">
            <w:pPr>
              <w:pStyle w:val="a6"/>
            </w:pPr>
            <w:r w:rsidRPr="0040095A">
              <w:t xml:space="preserve">Number </w:t>
            </w:r>
            <w:r w:rsidRPr="00F16293">
              <w:t>with 1 dose of vaccine, Tokyo</w:t>
            </w:r>
          </w:p>
        </w:tc>
        <w:tc>
          <w:tcPr>
            <w:tcW w:w="1530" w:type="dxa"/>
          </w:tcPr>
          <w:p w14:paraId="3FF039B2" w14:textId="77777777" w:rsidR="00DC2A1D" w:rsidRPr="00F16293" w:rsidRDefault="00DC2A1D" w:rsidP="00362CA9">
            <w:pPr>
              <w:pStyle w:val="a6"/>
            </w:pPr>
            <w:r w:rsidRPr="00F16293">
              <w:t>1.6 million</w:t>
            </w:r>
          </w:p>
        </w:tc>
        <w:tc>
          <w:tcPr>
            <w:tcW w:w="1536" w:type="dxa"/>
          </w:tcPr>
          <w:p w14:paraId="7DE22C84" w14:textId="77777777" w:rsidR="00DC2A1D" w:rsidRPr="00F16293" w:rsidRDefault="00DC2A1D" w:rsidP="00362CA9">
            <w:pPr>
              <w:pStyle w:val="a6"/>
            </w:pPr>
            <w:r w:rsidRPr="00F16293">
              <w:t>JCO</w:t>
            </w:r>
          </w:p>
        </w:tc>
        <w:tc>
          <w:tcPr>
            <w:tcW w:w="1298" w:type="dxa"/>
          </w:tcPr>
          <w:p w14:paraId="68D2AF66" w14:textId="77777777" w:rsidR="00DC2A1D" w:rsidRPr="00F16293" w:rsidRDefault="00DC2A1D" w:rsidP="00362CA9">
            <w:pPr>
              <w:pStyle w:val="a6"/>
            </w:pPr>
            <w:r w:rsidRPr="00F16293">
              <w:t>2021-07-15</w:t>
            </w:r>
          </w:p>
        </w:tc>
      </w:tr>
      <w:tr w:rsidR="00DC2A1D" w:rsidRPr="00D94A4E" w14:paraId="5A81EB96" w14:textId="77777777" w:rsidTr="00362CA9">
        <w:trPr>
          <w:jc w:val="center"/>
        </w:trPr>
        <w:tc>
          <w:tcPr>
            <w:tcW w:w="4140" w:type="dxa"/>
          </w:tcPr>
          <w:p w14:paraId="0DCF4450" w14:textId="77777777" w:rsidR="00DC2A1D" w:rsidRPr="00F16293" w:rsidRDefault="00DC2A1D" w:rsidP="00362CA9">
            <w:pPr>
              <w:pStyle w:val="a6"/>
            </w:pPr>
            <w:r w:rsidRPr="0040095A">
              <w:t xml:space="preserve">Number </w:t>
            </w:r>
            <w:r w:rsidRPr="00F16293">
              <w:t>with 2 doses of vaccine, Tokyo</w:t>
            </w:r>
          </w:p>
        </w:tc>
        <w:tc>
          <w:tcPr>
            <w:tcW w:w="1530" w:type="dxa"/>
          </w:tcPr>
          <w:p w14:paraId="637C5C25" w14:textId="77777777" w:rsidR="00DC2A1D" w:rsidRPr="00F16293" w:rsidRDefault="00DC2A1D" w:rsidP="00362CA9">
            <w:pPr>
              <w:pStyle w:val="a6"/>
            </w:pPr>
            <w:r w:rsidRPr="00F16293">
              <w:t>2.1 million</w:t>
            </w:r>
          </w:p>
        </w:tc>
        <w:tc>
          <w:tcPr>
            <w:tcW w:w="1536" w:type="dxa"/>
          </w:tcPr>
          <w:p w14:paraId="34E7E24A" w14:textId="77777777" w:rsidR="00DC2A1D" w:rsidRPr="00F16293" w:rsidRDefault="00DC2A1D" w:rsidP="00362CA9">
            <w:pPr>
              <w:pStyle w:val="a6"/>
            </w:pPr>
            <w:r w:rsidRPr="00F16293">
              <w:t>JCO</w:t>
            </w:r>
          </w:p>
        </w:tc>
        <w:tc>
          <w:tcPr>
            <w:tcW w:w="1298" w:type="dxa"/>
          </w:tcPr>
          <w:p w14:paraId="3EE10B79" w14:textId="77777777" w:rsidR="00DC2A1D" w:rsidRPr="00F16293" w:rsidRDefault="00DC2A1D" w:rsidP="00362CA9">
            <w:pPr>
              <w:pStyle w:val="a6"/>
            </w:pPr>
            <w:r w:rsidRPr="00F16293">
              <w:t>2021-07-15</w:t>
            </w:r>
          </w:p>
        </w:tc>
      </w:tr>
      <w:tr w:rsidR="00DC2A1D" w:rsidRPr="00D94A4E" w14:paraId="756FE5DB" w14:textId="77777777" w:rsidTr="00362CA9">
        <w:trPr>
          <w:jc w:val="center"/>
        </w:trPr>
        <w:tc>
          <w:tcPr>
            <w:tcW w:w="4140" w:type="dxa"/>
          </w:tcPr>
          <w:p w14:paraId="4537B009" w14:textId="77777777" w:rsidR="00DC2A1D" w:rsidRPr="00F16293" w:rsidRDefault="00DC2A1D" w:rsidP="00362CA9">
            <w:pPr>
              <w:pStyle w:val="a6"/>
            </w:pPr>
            <w:r w:rsidRPr="0040095A">
              <w:t>Vaccine effectiveness against infection</w:t>
            </w:r>
            <w:r w:rsidRPr="00F16293">
              <w:t>†</w:t>
            </w:r>
          </w:p>
        </w:tc>
        <w:tc>
          <w:tcPr>
            <w:tcW w:w="1530" w:type="dxa"/>
          </w:tcPr>
          <w:p w14:paraId="04691B3F" w14:textId="77777777" w:rsidR="00DC2A1D" w:rsidRPr="00F16293" w:rsidRDefault="00DC2A1D" w:rsidP="00362CA9">
            <w:pPr>
              <w:pStyle w:val="a6"/>
            </w:pPr>
            <w:r w:rsidRPr="00F16293">
              <w:t>0.6</w:t>
            </w:r>
          </w:p>
        </w:tc>
        <w:tc>
          <w:tcPr>
            <w:tcW w:w="1536" w:type="dxa"/>
          </w:tcPr>
          <w:p w14:paraId="4F46E86C" w14:textId="77777777" w:rsidR="00DC2A1D" w:rsidRPr="00F16293" w:rsidRDefault="00DC2A1D" w:rsidP="00362CA9">
            <w:pPr>
              <w:pStyle w:val="a6"/>
            </w:pPr>
            <w:r w:rsidRPr="00F16293">
              <w:t>CDC</w:t>
            </w:r>
            <w:r>
              <w:t xml:space="preserve"> [S1]</w:t>
            </w:r>
          </w:p>
        </w:tc>
        <w:tc>
          <w:tcPr>
            <w:tcW w:w="1298" w:type="dxa"/>
          </w:tcPr>
          <w:p w14:paraId="6E4F5B56" w14:textId="77777777" w:rsidR="00DC2A1D" w:rsidRPr="00F16293" w:rsidRDefault="00DC2A1D" w:rsidP="00362CA9">
            <w:pPr>
              <w:pStyle w:val="a6"/>
            </w:pPr>
            <w:r w:rsidRPr="00F16293">
              <w:t>-</w:t>
            </w:r>
          </w:p>
        </w:tc>
      </w:tr>
      <w:tr w:rsidR="00DC2A1D" w:rsidRPr="00D94A4E" w14:paraId="0E5E1F94" w14:textId="77777777" w:rsidTr="00362CA9">
        <w:trPr>
          <w:jc w:val="center"/>
        </w:trPr>
        <w:tc>
          <w:tcPr>
            <w:tcW w:w="4140" w:type="dxa"/>
          </w:tcPr>
          <w:p w14:paraId="60D1E6E3" w14:textId="77777777" w:rsidR="00DC2A1D" w:rsidRPr="00F16293" w:rsidRDefault="00DC2A1D" w:rsidP="00362CA9">
            <w:pPr>
              <w:pStyle w:val="a6"/>
            </w:pPr>
            <w:r w:rsidRPr="0040095A">
              <w:t>Vaccine effectiveness against symptomatic infection, Delta variant†</w:t>
            </w:r>
          </w:p>
        </w:tc>
        <w:tc>
          <w:tcPr>
            <w:tcW w:w="1530" w:type="dxa"/>
          </w:tcPr>
          <w:p w14:paraId="6F9374B1" w14:textId="77777777" w:rsidR="00DC2A1D" w:rsidRPr="00F16293" w:rsidRDefault="00DC2A1D" w:rsidP="00362CA9">
            <w:pPr>
              <w:pStyle w:val="a6"/>
            </w:pPr>
            <w:r w:rsidRPr="00F16293">
              <w:t xml:space="preserve">1 dose=0.3, </w:t>
            </w:r>
            <w:r w:rsidRPr="00F16293">
              <w:br/>
              <w:t>2 doses=0.8</w:t>
            </w:r>
          </w:p>
        </w:tc>
        <w:tc>
          <w:tcPr>
            <w:tcW w:w="1536" w:type="dxa"/>
          </w:tcPr>
          <w:p w14:paraId="06F0AF87" w14:textId="77777777" w:rsidR="00DC2A1D" w:rsidRPr="00F16293" w:rsidRDefault="00DC2A1D" w:rsidP="00362CA9">
            <w:pPr>
              <w:pStyle w:val="a6"/>
            </w:pPr>
            <w:r w:rsidRPr="00F16293">
              <w:t>Sheikh</w:t>
            </w:r>
            <w:r>
              <w:t xml:space="preserve"> [S2]</w:t>
            </w:r>
          </w:p>
        </w:tc>
        <w:tc>
          <w:tcPr>
            <w:tcW w:w="1298" w:type="dxa"/>
          </w:tcPr>
          <w:p w14:paraId="5A8A8005" w14:textId="77777777" w:rsidR="00DC2A1D" w:rsidRPr="00F16293" w:rsidRDefault="00DC2A1D" w:rsidP="00362CA9">
            <w:pPr>
              <w:pStyle w:val="a6"/>
            </w:pPr>
            <w:r w:rsidRPr="00F16293">
              <w:t>-</w:t>
            </w:r>
          </w:p>
        </w:tc>
      </w:tr>
      <w:tr w:rsidR="00DC2A1D" w:rsidRPr="00D94A4E" w14:paraId="350FBB25" w14:textId="77777777" w:rsidTr="00362CA9">
        <w:trPr>
          <w:jc w:val="center"/>
        </w:trPr>
        <w:tc>
          <w:tcPr>
            <w:tcW w:w="4140" w:type="dxa"/>
          </w:tcPr>
          <w:p w14:paraId="4BEE297C" w14:textId="77777777" w:rsidR="00DC2A1D" w:rsidRPr="0040095A" w:rsidRDefault="00DC2A1D" w:rsidP="00362CA9">
            <w:pPr>
              <w:pStyle w:val="a6"/>
            </w:pPr>
            <w:r w:rsidRPr="0040095A">
              <w:lastRenderedPageBreak/>
              <w:t>Number of recovered cases, world</w:t>
            </w:r>
          </w:p>
        </w:tc>
        <w:tc>
          <w:tcPr>
            <w:tcW w:w="1530" w:type="dxa"/>
          </w:tcPr>
          <w:p w14:paraId="0ABA6725" w14:textId="77777777" w:rsidR="00DC2A1D" w:rsidRPr="00F16293" w:rsidRDefault="00DC2A1D" w:rsidP="00362CA9">
            <w:pPr>
              <w:pStyle w:val="a6"/>
            </w:pPr>
            <w:r w:rsidRPr="00F16293">
              <w:t>17</w:t>
            </w:r>
            <w:r>
              <w:t>3.2 million</w:t>
            </w:r>
          </w:p>
        </w:tc>
        <w:tc>
          <w:tcPr>
            <w:tcW w:w="1536" w:type="dxa"/>
          </w:tcPr>
          <w:p w14:paraId="2C13BBE7" w14:textId="77777777" w:rsidR="00DC2A1D" w:rsidRPr="00F16293" w:rsidRDefault="00DC2A1D" w:rsidP="00362CA9">
            <w:pPr>
              <w:pStyle w:val="a6"/>
            </w:pPr>
            <w:proofErr w:type="spellStart"/>
            <w:r w:rsidRPr="00F16293">
              <w:t>Worldometers</w:t>
            </w:r>
            <w:proofErr w:type="spellEnd"/>
          </w:p>
        </w:tc>
        <w:tc>
          <w:tcPr>
            <w:tcW w:w="1298" w:type="dxa"/>
          </w:tcPr>
          <w:p w14:paraId="0C1C4F02" w14:textId="77777777" w:rsidR="00DC2A1D" w:rsidRPr="00F16293" w:rsidRDefault="00DC2A1D" w:rsidP="00362CA9">
            <w:pPr>
              <w:pStyle w:val="a6"/>
            </w:pPr>
            <w:r w:rsidRPr="00F16293">
              <w:t>2021-07-15</w:t>
            </w:r>
          </w:p>
        </w:tc>
      </w:tr>
      <w:tr w:rsidR="00DC2A1D" w:rsidRPr="00D94A4E" w14:paraId="00347FF9" w14:textId="77777777" w:rsidTr="00362CA9">
        <w:trPr>
          <w:jc w:val="center"/>
        </w:trPr>
        <w:tc>
          <w:tcPr>
            <w:tcW w:w="4140" w:type="dxa"/>
          </w:tcPr>
          <w:p w14:paraId="378B55DB" w14:textId="77777777" w:rsidR="00DC2A1D" w:rsidRPr="0040095A" w:rsidRDefault="00DC2A1D" w:rsidP="00362CA9">
            <w:pPr>
              <w:pStyle w:val="a6"/>
            </w:pPr>
            <w:r w:rsidRPr="0040095A">
              <w:t>Number of recovered cases, Japan</w:t>
            </w:r>
          </w:p>
        </w:tc>
        <w:tc>
          <w:tcPr>
            <w:tcW w:w="1530" w:type="dxa"/>
          </w:tcPr>
          <w:p w14:paraId="77697D1C" w14:textId="77777777" w:rsidR="00DC2A1D" w:rsidRPr="00F16293" w:rsidRDefault="00DC2A1D" w:rsidP="00362CA9">
            <w:pPr>
              <w:pStyle w:val="a6"/>
            </w:pPr>
            <w:r>
              <w:t>0.8 million</w:t>
            </w:r>
          </w:p>
        </w:tc>
        <w:tc>
          <w:tcPr>
            <w:tcW w:w="1536" w:type="dxa"/>
          </w:tcPr>
          <w:p w14:paraId="24F1911C" w14:textId="77777777" w:rsidR="00DC2A1D" w:rsidRPr="00F16293" w:rsidRDefault="00DC2A1D" w:rsidP="00362CA9">
            <w:pPr>
              <w:pStyle w:val="a6"/>
            </w:pPr>
            <w:proofErr w:type="spellStart"/>
            <w:r w:rsidRPr="00F16293">
              <w:t>Worldometers</w:t>
            </w:r>
            <w:proofErr w:type="spellEnd"/>
          </w:p>
        </w:tc>
        <w:tc>
          <w:tcPr>
            <w:tcW w:w="1298" w:type="dxa"/>
          </w:tcPr>
          <w:p w14:paraId="6258B56A" w14:textId="77777777" w:rsidR="00DC2A1D" w:rsidRPr="00F16293" w:rsidRDefault="00DC2A1D" w:rsidP="00362CA9">
            <w:pPr>
              <w:pStyle w:val="a6"/>
            </w:pPr>
            <w:r w:rsidRPr="00F16293">
              <w:t>2021-07-15</w:t>
            </w:r>
          </w:p>
        </w:tc>
      </w:tr>
      <w:tr w:rsidR="00DC2A1D" w:rsidRPr="00D94A4E" w14:paraId="0049ED23" w14:textId="77777777" w:rsidTr="00362CA9">
        <w:trPr>
          <w:jc w:val="center"/>
        </w:trPr>
        <w:tc>
          <w:tcPr>
            <w:tcW w:w="4140" w:type="dxa"/>
          </w:tcPr>
          <w:p w14:paraId="791E2C79" w14:textId="77777777" w:rsidR="00DC2A1D" w:rsidRPr="0040095A" w:rsidRDefault="00DC2A1D" w:rsidP="00362CA9">
            <w:pPr>
              <w:pStyle w:val="a6"/>
            </w:pPr>
            <w:r>
              <w:t>Fraction of foreign Games accredited vaccinated</w:t>
            </w:r>
          </w:p>
        </w:tc>
        <w:tc>
          <w:tcPr>
            <w:tcW w:w="1530" w:type="dxa"/>
          </w:tcPr>
          <w:p w14:paraId="159D26EE" w14:textId="77777777" w:rsidR="00DC2A1D" w:rsidRPr="00F16293" w:rsidRDefault="00DC2A1D" w:rsidP="00362CA9">
            <w:pPr>
              <w:pStyle w:val="a6"/>
            </w:pPr>
            <w:r>
              <w:t>0.8</w:t>
            </w:r>
          </w:p>
        </w:tc>
        <w:tc>
          <w:tcPr>
            <w:tcW w:w="1536" w:type="dxa"/>
          </w:tcPr>
          <w:p w14:paraId="48EB3BD2" w14:textId="77777777" w:rsidR="00DC2A1D" w:rsidRPr="00F16293" w:rsidRDefault="00DC2A1D" w:rsidP="00362CA9">
            <w:pPr>
              <w:pStyle w:val="a6"/>
            </w:pPr>
            <w:r>
              <w:t>Assumption</w:t>
            </w:r>
          </w:p>
        </w:tc>
        <w:tc>
          <w:tcPr>
            <w:tcW w:w="1298" w:type="dxa"/>
          </w:tcPr>
          <w:p w14:paraId="0362CC72" w14:textId="77777777" w:rsidR="00DC2A1D" w:rsidRPr="00F16293" w:rsidRDefault="00DC2A1D" w:rsidP="00362CA9">
            <w:pPr>
              <w:pStyle w:val="a6"/>
            </w:pPr>
            <w:r>
              <w:t>-</w:t>
            </w:r>
          </w:p>
        </w:tc>
      </w:tr>
      <w:tr w:rsidR="00DC2A1D" w:rsidRPr="00D94A4E" w14:paraId="2D9476CD" w14:textId="77777777" w:rsidTr="00362CA9">
        <w:trPr>
          <w:jc w:val="center"/>
        </w:trPr>
        <w:tc>
          <w:tcPr>
            <w:tcW w:w="4140" w:type="dxa"/>
            <w:tcBorders>
              <w:bottom w:val="single" w:sz="6" w:space="0" w:color="auto"/>
            </w:tcBorders>
          </w:tcPr>
          <w:p w14:paraId="2F1B0247" w14:textId="77777777" w:rsidR="00DC2A1D" w:rsidRPr="0040095A" w:rsidRDefault="00DC2A1D" w:rsidP="00362CA9">
            <w:pPr>
              <w:pStyle w:val="a6"/>
            </w:pPr>
            <w:r w:rsidRPr="0040095A">
              <w:t>Antigen test sensitivity at airport</w:t>
            </w:r>
          </w:p>
        </w:tc>
        <w:tc>
          <w:tcPr>
            <w:tcW w:w="1530" w:type="dxa"/>
            <w:tcBorders>
              <w:bottom w:val="single" w:sz="6" w:space="0" w:color="auto"/>
            </w:tcBorders>
          </w:tcPr>
          <w:p w14:paraId="3A3317DD" w14:textId="77777777" w:rsidR="00DC2A1D" w:rsidRPr="00F16293" w:rsidRDefault="00DC2A1D" w:rsidP="00362CA9">
            <w:pPr>
              <w:pStyle w:val="a6"/>
            </w:pPr>
            <w:r w:rsidRPr="00F16293">
              <w:t>0.5</w:t>
            </w:r>
          </w:p>
        </w:tc>
        <w:tc>
          <w:tcPr>
            <w:tcW w:w="1536" w:type="dxa"/>
            <w:tcBorders>
              <w:bottom w:val="single" w:sz="6" w:space="0" w:color="auto"/>
            </w:tcBorders>
          </w:tcPr>
          <w:p w14:paraId="552758BE" w14:textId="77777777" w:rsidR="00DC2A1D" w:rsidRPr="00F16293" w:rsidRDefault="00DC2A1D" w:rsidP="00362CA9">
            <w:pPr>
              <w:pStyle w:val="a6"/>
            </w:pPr>
            <w:r w:rsidRPr="00F16293">
              <w:t>Assumption</w:t>
            </w:r>
          </w:p>
        </w:tc>
        <w:tc>
          <w:tcPr>
            <w:tcW w:w="1298" w:type="dxa"/>
            <w:tcBorders>
              <w:bottom w:val="single" w:sz="6" w:space="0" w:color="auto"/>
            </w:tcBorders>
          </w:tcPr>
          <w:p w14:paraId="61845A98" w14:textId="77777777" w:rsidR="00DC2A1D" w:rsidRPr="00F16293" w:rsidRDefault="00DC2A1D" w:rsidP="00362CA9">
            <w:pPr>
              <w:pStyle w:val="a6"/>
            </w:pPr>
            <w:r w:rsidRPr="00F16293">
              <w:t>-</w:t>
            </w:r>
          </w:p>
        </w:tc>
      </w:tr>
    </w:tbl>
    <w:p w14:paraId="339E5A6F" w14:textId="77777777" w:rsidR="00DC2A1D" w:rsidRPr="00DC2A1D" w:rsidRDefault="00DC2A1D" w:rsidP="00DC2A1D">
      <w:pPr>
        <w:pStyle w:val="a4"/>
        <w:spacing w:beforeLines="50" w:before="166" w:line="300" w:lineRule="atLeast"/>
        <w:ind w:left="567" w:right="567" w:firstLineChars="0" w:firstLine="0"/>
        <w:rPr>
          <w:sz w:val="20"/>
          <w:szCs w:val="20"/>
        </w:rPr>
      </w:pPr>
      <w:r w:rsidRPr="00DC2A1D">
        <w:rPr>
          <w:rFonts w:ascii="Times New Roman" w:hAnsi="Times New Roman"/>
          <w:bCs/>
          <w:sz w:val="20"/>
          <w:szCs w:val="20"/>
        </w:rPr>
        <w:t xml:space="preserve">CDC: Centers for Disease Control and prevention [S1]. PHE: Public Health England. JCO: Japan Cabinet Office. OWID: Our World in Data. Last 7 days refers to the seven days prior to 16 July, 2021, which is the starting point of the analysis. *We use this number rather than the number fully vaccinated as this also reflects partial immunity, which we crudely consider by using an overall vaccine effectiveness of 0.6. </w:t>
      </w:r>
      <w:r w:rsidRPr="00DC2A1D">
        <w:rPr>
          <w:rFonts w:ascii="Times New Roman" w:hAnsi="Times New Roman" w:hint="eastAsia"/>
          <w:bCs/>
          <w:sz w:val="20"/>
          <w:szCs w:val="20"/>
        </w:rPr>
        <w:t>†</w:t>
      </w:r>
      <w:r w:rsidRPr="00DC2A1D">
        <w:rPr>
          <w:rFonts w:ascii="Times New Roman" w:hAnsi="Times New Roman" w:hint="eastAsia"/>
          <w:bCs/>
          <w:sz w:val="20"/>
          <w:szCs w:val="20"/>
        </w:rPr>
        <w:t xml:space="preserve">Vaccine effectiveness is typically reported for </w:t>
      </w:r>
      <w:r w:rsidRPr="00DC2A1D">
        <w:rPr>
          <w:rFonts w:ascii="Times New Roman" w:hAnsi="Times New Roman" w:hint="eastAsia"/>
          <w:bCs/>
          <w:sz w:val="20"/>
          <w:szCs w:val="20"/>
        </w:rPr>
        <w:t>≥</w:t>
      </w:r>
      <w:r w:rsidRPr="00DC2A1D">
        <w:rPr>
          <w:rFonts w:ascii="Times New Roman" w:hAnsi="Times New Roman" w:hint="eastAsia"/>
          <w:bCs/>
          <w:sz w:val="20"/>
          <w:szCs w:val="20"/>
        </w:rPr>
        <w:t>14 days after vaccination, however our selected values are applied regardless of how long it has been since individuals were vaccinated.</w:t>
      </w:r>
      <w:r w:rsidRPr="00DC2A1D">
        <w:rPr>
          <w:sz w:val="20"/>
          <w:szCs w:val="20"/>
        </w:rPr>
        <w:t xml:space="preserve"> </w:t>
      </w:r>
    </w:p>
    <w:p w14:paraId="5D00247F" w14:textId="6F622C4C" w:rsidR="00DC2A1D" w:rsidRPr="00D670CD" w:rsidRDefault="00DC2A1D" w:rsidP="00DC2A1D">
      <w:pPr>
        <w:pStyle w:val="a4"/>
        <w:spacing w:beforeLines="50" w:before="166" w:line="300" w:lineRule="atLeast"/>
        <w:ind w:firstLineChars="0" w:firstLine="0"/>
        <w:rPr>
          <w:rFonts w:ascii="Times New Roman" w:hAnsi="Times New Roman"/>
          <w:sz w:val="24"/>
          <w:szCs w:val="24"/>
        </w:rPr>
      </w:pPr>
      <w:r w:rsidRPr="00D670CD">
        <w:rPr>
          <w:rFonts w:ascii="Times New Roman" w:hAnsi="Times New Roman"/>
          <w:sz w:val="24"/>
          <w:szCs w:val="24"/>
        </w:rPr>
        <w:t>[S1] Centers for Disease Control and Prevention (CDC). Science Brief: COVID-19 Vaccines and Vaccination.</w:t>
      </w:r>
      <w:r>
        <w:rPr>
          <w:rFonts w:ascii="Times New Roman" w:hAnsi="Times New Roman"/>
          <w:sz w:val="24"/>
          <w:szCs w:val="24"/>
        </w:rPr>
        <w:t xml:space="preserve"> </w:t>
      </w:r>
      <w:r w:rsidRPr="00D670CD">
        <w:rPr>
          <w:rFonts w:ascii="Times New Roman" w:hAnsi="Times New Roman"/>
          <w:sz w:val="24"/>
          <w:szCs w:val="24"/>
        </w:rPr>
        <w:t xml:space="preserve">https://www.cdc.gov/coronavirus/2019-ncov/science/science-briefs/fully-vaccinated-people.html. Published 2021. Accessed July 12, 2021. </w:t>
      </w:r>
    </w:p>
    <w:p w14:paraId="6985039C" w14:textId="77777777" w:rsidR="00DC2A1D" w:rsidRPr="009F64CC" w:rsidRDefault="00DC2A1D" w:rsidP="00DC2A1D">
      <w:pPr>
        <w:pStyle w:val="a4"/>
        <w:spacing w:beforeLines="50" w:before="166" w:line="300" w:lineRule="atLeast"/>
        <w:ind w:firstLineChars="0" w:firstLine="0"/>
        <w:rPr>
          <w:rFonts w:ascii="Times New Roman" w:hAnsi="Times New Roman"/>
          <w:bCs/>
          <w:sz w:val="24"/>
          <w:szCs w:val="24"/>
        </w:rPr>
      </w:pPr>
      <w:r w:rsidRPr="00D670CD">
        <w:rPr>
          <w:rFonts w:ascii="Times New Roman" w:hAnsi="Times New Roman"/>
          <w:sz w:val="24"/>
          <w:szCs w:val="24"/>
        </w:rPr>
        <w:t xml:space="preserve">[S2] </w:t>
      </w:r>
      <w:r w:rsidRPr="009F64CC">
        <w:rPr>
          <w:rFonts w:ascii="Times New Roman" w:hAnsi="Times New Roman"/>
          <w:bCs/>
          <w:sz w:val="24"/>
          <w:szCs w:val="24"/>
        </w:rPr>
        <w:t xml:space="preserve">Sheikh A, McMenamin J, Taylor B, Robertson C. SARS-CoV-2 Delta VOC in Scotland: demographics, risk of hospital admission, and vaccine effectiveness. </w:t>
      </w:r>
      <w:r w:rsidRPr="00D670CD">
        <w:rPr>
          <w:rFonts w:ascii="Times New Roman" w:hAnsi="Times New Roman"/>
          <w:bCs/>
          <w:i/>
          <w:iCs/>
          <w:sz w:val="24"/>
          <w:szCs w:val="24"/>
        </w:rPr>
        <w:t>Lancet</w:t>
      </w:r>
      <w:r w:rsidRPr="009F64CC">
        <w:rPr>
          <w:rFonts w:ascii="Times New Roman" w:hAnsi="Times New Roman"/>
          <w:bCs/>
          <w:sz w:val="24"/>
          <w:szCs w:val="24"/>
        </w:rPr>
        <w:t xml:space="preserve">. 2021;397(10293):2461–2. </w:t>
      </w:r>
    </w:p>
    <w:p w14:paraId="2EE871F5" w14:textId="77777777" w:rsidR="00DC2A1D" w:rsidRDefault="00DC2A1D" w:rsidP="00DC2A1D">
      <w:pPr>
        <w:pStyle w:val="a4"/>
        <w:spacing w:beforeLines="100" w:before="332" w:line="300" w:lineRule="atLeast"/>
        <w:ind w:firstLineChars="0" w:firstLine="0"/>
        <w:jc w:val="center"/>
        <w:rPr>
          <w:rFonts w:ascii="Times New Roman" w:hAnsi="Times New Roman"/>
          <w:bCs/>
          <w:sz w:val="24"/>
          <w:szCs w:val="24"/>
        </w:rPr>
      </w:pPr>
      <w:r w:rsidRPr="00F16293">
        <w:rPr>
          <w:b/>
          <w:iCs/>
          <w:noProof/>
        </w:rPr>
        <w:drawing>
          <wp:inline distT="0" distB="0" distL="0" distR="0" wp14:anchorId="13405E64" wp14:editId="2771D2F5">
            <wp:extent cx="5400040" cy="1811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1811655"/>
                    </a:xfrm>
                    <a:prstGeom prst="rect">
                      <a:avLst/>
                    </a:prstGeom>
                  </pic:spPr>
                </pic:pic>
              </a:graphicData>
            </a:graphic>
          </wp:inline>
        </w:drawing>
      </w:r>
    </w:p>
    <w:p w14:paraId="26688844" w14:textId="076D48EB" w:rsidR="00DC2A1D" w:rsidRDefault="00DC2A1D" w:rsidP="00DC2A1D">
      <w:pPr>
        <w:pStyle w:val="a4"/>
        <w:spacing w:beforeLines="100" w:before="332" w:after="240" w:line="300" w:lineRule="atLeast"/>
        <w:ind w:left="567" w:right="567" w:firstLineChars="0" w:firstLine="0"/>
        <w:rPr>
          <w:rFonts w:ascii="Times New Roman" w:hAnsi="Times New Roman"/>
          <w:bCs/>
          <w:sz w:val="24"/>
          <w:szCs w:val="24"/>
        </w:rPr>
      </w:pPr>
      <w:r w:rsidRPr="004E61E3">
        <w:rPr>
          <w:rFonts w:ascii="Times New Roman" w:hAnsi="Times New Roman"/>
          <w:b/>
          <w:sz w:val="24"/>
          <w:szCs w:val="24"/>
        </w:rPr>
        <w:t xml:space="preserve">Supplementary Figure 1. </w:t>
      </w:r>
      <w:r w:rsidRPr="00DC2A1D">
        <w:rPr>
          <w:rFonts w:ascii="Times New Roman" w:hAnsi="Times New Roman"/>
          <w:bCs/>
          <w:sz w:val="24"/>
          <w:szCs w:val="24"/>
        </w:rPr>
        <w:t>Offspring distribution considering varying baseline effective reproduction numbers (</w:t>
      </w:r>
      <m:oMath>
        <m:sSub>
          <m:sSubPr>
            <m:ctrlPr>
              <w:rPr>
                <w:rFonts w:ascii="Cambria Math" w:hAnsi="Cambria Math"/>
                <w:bCs/>
                <w:i/>
                <w:sz w:val="24"/>
                <w:szCs w:val="24"/>
              </w:rPr>
            </m:ctrlPr>
          </m:sSubPr>
          <m:e>
            <m:r>
              <w:rPr>
                <w:rFonts w:ascii="Cambria Math" w:hAnsi="Cambria Math"/>
                <w:sz w:val="24"/>
                <w:szCs w:val="24"/>
              </w:rPr>
              <m:t>R</m:t>
            </m:r>
          </m:e>
          <m:sub>
            <m:r>
              <w:rPr>
                <w:rFonts w:ascii="Cambria Math" w:hAnsi="Cambria Math"/>
                <w:sz w:val="24"/>
                <w:szCs w:val="24"/>
              </w:rPr>
              <m:t>b</m:t>
            </m:r>
          </m:sub>
        </m:sSub>
      </m:oMath>
      <w:r w:rsidRPr="00DC2A1D">
        <w:rPr>
          <w:rFonts w:ascii="Times New Roman" w:hAnsi="Times New Roman"/>
          <w:bCs/>
          <w:sz w:val="24"/>
          <w:szCs w:val="24"/>
        </w:rPr>
        <w:t xml:space="preserve">) and overdispersion parameter </w:t>
      </w:r>
      <m:oMath>
        <m:r>
          <w:rPr>
            <w:rFonts w:ascii="Cambria Math" w:hAnsi="Cambria Math"/>
            <w:sz w:val="24"/>
            <w:szCs w:val="24"/>
          </w:rPr>
          <m:t>k</m:t>
        </m:r>
      </m:oMath>
      <w:r w:rsidRPr="00DC2A1D">
        <w:rPr>
          <w:rFonts w:ascii="Times New Roman" w:hAnsi="Times New Roman"/>
          <w:bCs/>
          <w:sz w:val="24"/>
          <w:szCs w:val="24"/>
        </w:rPr>
        <w:t>.</w:t>
      </w:r>
    </w:p>
    <w:p w14:paraId="42AD97CF" w14:textId="77777777" w:rsidR="005B3A2C" w:rsidRDefault="005B3A2C"/>
    <w:sectPr w:rsidR="005B3A2C" w:rsidSect="00845B90">
      <w:pgSz w:w="11906" w:h="16838" w:code="9"/>
      <w:pgMar w:top="1440" w:right="1080" w:bottom="1440" w:left="1080" w:header="851" w:footer="992" w:gutter="0"/>
      <w:pgNumType w:start="9685"/>
      <w:cols w:space="425"/>
      <w:titlePg/>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8A081" w14:textId="77777777" w:rsidR="00BF630E" w:rsidRDefault="00BF630E" w:rsidP="00DC2A1D">
      <w:r>
        <w:separator/>
      </w:r>
    </w:p>
  </w:endnote>
  <w:endnote w:type="continuationSeparator" w:id="0">
    <w:p w14:paraId="516F4131" w14:textId="77777777" w:rsidR="00BF630E" w:rsidRDefault="00BF630E" w:rsidP="00DC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079B" w14:textId="77777777" w:rsidR="00BF630E" w:rsidRDefault="00BF630E" w:rsidP="00DC2A1D">
      <w:r>
        <w:separator/>
      </w:r>
    </w:p>
  </w:footnote>
  <w:footnote w:type="continuationSeparator" w:id="0">
    <w:p w14:paraId="6FD2CC39" w14:textId="77777777" w:rsidR="00BF630E" w:rsidRDefault="00BF630E" w:rsidP="00DC2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6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5D"/>
    <w:rsid w:val="003240A9"/>
    <w:rsid w:val="00396814"/>
    <w:rsid w:val="00543353"/>
    <w:rsid w:val="00545E8E"/>
    <w:rsid w:val="005B3A2C"/>
    <w:rsid w:val="00845B90"/>
    <w:rsid w:val="008C14F4"/>
    <w:rsid w:val="008F29A5"/>
    <w:rsid w:val="009A6C79"/>
    <w:rsid w:val="00A5295D"/>
    <w:rsid w:val="00A94816"/>
    <w:rsid w:val="00BF630E"/>
    <w:rsid w:val="00C43B8B"/>
    <w:rsid w:val="00D963EC"/>
    <w:rsid w:val="00DC293F"/>
    <w:rsid w:val="00DC2A1D"/>
    <w:rsid w:val="00EB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EDDD2"/>
  <w15:chartTrackingRefBased/>
  <w15:docId w15:val="{24901574-7D28-43C1-AAB5-C47F169F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A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2A1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A1D"/>
    <w:pPr>
      <w:ind w:firstLineChars="200" w:firstLine="420"/>
    </w:pPr>
  </w:style>
  <w:style w:type="paragraph" w:styleId="a5">
    <w:name w:val="No Spacing"/>
    <w:aliases w:val="Paragraph"/>
    <w:uiPriority w:val="1"/>
    <w:rsid w:val="00DC2A1D"/>
    <w:pPr>
      <w:spacing w:line="360" w:lineRule="auto"/>
      <w:ind w:firstLine="567"/>
    </w:pPr>
    <w:rPr>
      <w:kern w:val="0"/>
      <w:sz w:val="22"/>
      <w:lang w:eastAsia="ja-JP"/>
    </w:rPr>
  </w:style>
  <w:style w:type="paragraph" w:styleId="a6">
    <w:name w:val="Title"/>
    <w:aliases w:val="Table"/>
    <w:basedOn w:val="a"/>
    <w:next w:val="a"/>
    <w:link w:val="a7"/>
    <w:qFormat/>
    <w:rsid w:val="00DC2A1D"/>
    <w:pPr>
      <w:widowControl/>
      <w:suppressAutoHyphens/>
      <w:contextualSpacing/>
      <w:jc w:val="left"/>
    </w:pPr>
    <w:rPr>
      <w:rFonts w:ascii="Arial" w:eastAsiaTheme="majorEastAsia" w:hAnsi="Arial" w:cstheme="majorBidi"/>
      <w:spacing w:val="-10"/>
      <w:kern w:val="28"/>
      <w:szCs w:val="56"/>
      <w:lang w:eastAsia="ar-SA"/>
    </w:rPr>
  </w:style>
  <w:style w:type="character" w:customStyle="1" w:styleId="a7">
    <w:name w:val="标题 字符"/>
    <w:aliases w:val="Table 字符"/>
    <w:basedOn w:val="a0"/>
    <w:link w:val="a6"/>
    <w:rsid w:val="00DC2A1D"/>
    <w:rPr>
      <w:rFonts w:ascii="Arial" w:eastAsiaTheme="majorEastAsia" w:hAnsi="Arial" w:cstheme="majorBidi"/>
      <w:spacing w:val="-10"/>
      <w:kern w:val="28"/>
      <w:szCs w:val="56"/>
      <w:lang w:eastAsia="ar-SA"/>
    </w:rPr>
  </w:style>
  <w:style w:type="paragraph" w:styleId="a8">
    <w:name w:val="header"/>
    <w:basedOn w:val="a"/>
    <w:link w:val="a9"/>
    <w:uiPriority w:val="99"/>
    <w:unhideWhenUsed/>
    <w:rsid w:val="00845B90"/>
    <w:pPr>
      <w:tabs>
        <w:tab w:val="center" w:pos="4153"/>
        <w:tab w:val="right" w:pos="8306"/>
      </w:tabs>
    </w:pPr>
  </w:style>
  <w:style w:type="character" w:customStyle="1" w:styleId="a9">
    <w:name w:val="页眉 字符"/>
    <w:basedOn w:val="a0"/>
    <w:link w:val="a8"/>
    <w:uiPriority w:val="99"/>
    <w:rsid w:val="00845B90"/>
    <w:rPr>
      <w:rFonts w:ascii="Calibri" w:eastAsia="宋体" w:hAnsi="Calibri" w:cs="Times New Roman"/>
    </w:rPr>
  </w:style>
  <w:style w:type="paragraph" w:styleId="aa">
    <w:name w:val="footer"/>
    <w:basedOn w:val="a"/>
    <w:link w:val="ab"/>
    <w:uiPriority w:val="99"/>
    <w:unhideWhenUsed/>
    <w:rsid w:val="00845B90"/>
    <w:pPr>
      <w:tabs>
        <w:tab w:val="center" w:pos="4153"/>
        <w:tab w:val="right" w:pos="8306"/>
      </w:tabs>
    </w:pPr>
  </w:style>
  <w:style w:type="character" w:customStyle="1" w:styleId="ab">
    <w:name w:val="页脚 字符"/>
    <w:basedOn w:val="a0"/>
    <w:link w:val="aa"/>
    <w:uiPriority w:val="99"/>
    <w:rsid w:val="00845B90"/>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yulan</dc:creator>
  <cp:keywords/>
  <dc:description/>
  <cp:lastModifiedBy>zhao yulan</cp:lastModifiedBy>
  <cp:revision>6</cp:revision>
  <dcterms:created xsi:type="dcterms:W3CDTF">2021-11-01T08:36:00Z</dcterms:created>
  <dcterms:modified xsi:type="dcterms:W3CDTF">2021-11-04T03:14:00Z</dcterms:modified>
</cp:coreProperties>
</file>