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89" w:rsidRPr="00806B89" w:rsidRDefault="00806B89" w:rsidP="00806B89">
      <w:pPr>
        <w:widowControl w:val="0"/>
        <w:spacing w:after="0" w:line="240" w:lineRule="auto"/>
        <w:ind w:left="6067"/>
        <w:textAlignment w:val="top"/>
        <w:rPr>
          <w:rFonts w:ascii="Times New Roman" w:eastAsia="宋体" w:hAnsi="Times New Roman" w:cs="Times New Roman"/>
          <w:kern w:val="2"/>
          <w:lang w:eastAsia="zh-CN"/>
        </w:rPr>
      </w:pPr>
      <w:r w:rsidRPr="00806B89">
        <w:rPr>
          <w:rFonts w:ascii="Times New Roman" w:eastAsia="宋体" w:hAnsi="Times New Roman" w:cs="Times New Roman"/>
          <w:noProof/>
          <w:kern w:val="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31115</wp:posOffset>
            </wp:positionV>
            <wp:extent cx="1615440" cy="6572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49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806B89">
        <w:rPr>
          <w:rFonts w:ascii="Times New Roman" w:eastAsia="宋体" w:hAnsi="Times New Roman" w:cs="Times New Roman"/>
          <w:kern w:val="2"/>
          <w:lang w:eastAsia="zh-CN"/>
        </w:rPr>
        <w:t xml:space="preserve">AIMS 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Materials Science, 10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(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2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 xml:space="preserve">): 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342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–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35</w:t>
      </w:r>
      <w:r w:rsidR="00DF329E">
        <w:rPr>
          <w:rFonts w:ascii="Times New Roman" w:eastAsia="宋体" w:hAnsi="Times New Roman" w:cs="Times New Roman" w:hint="eastAsia"/>
          <w:kern w:val="2"/>
          <w:lang w:eastAsia="zh-CN"/>
        </w:rPr>
        <w:t>5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.</w:t>
      </w:r>
      <w:proofErr w:type="gramEnd"/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br/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DOI: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 xml:space="preserve"> 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10.3934/matersci.202301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8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br/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 xml:space="preserve">Received: 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19 October 2022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br/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 xml:space="preserve">Revised: 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13 March 2023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br/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Accepted:</w:t>
      </w:r>
      <w:r w:rsidRPr="00806B89">
        <w:rPr>
          <w:rFonts w:ascii="Calibri" w:eastAsia="宋体" w:hAnsi="Calibri" w:cs="Times New Roman"/>
          <w:kern w:val="2"/>
          <w:sz w:val="21"/>
          <w:lang w:eastAsia="zh-CN"/>
        </w:rPr>
        <w:t xml:space="preserve"> 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>22 March 2023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br/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Published:</w:t>
      </w:r>
      <w:r w:rsidRPr="00806B89">
        <w:rPr>
          <w:rFonts w:ascii="Calibri" w:eastAsia="宋体" w:hAnsi="Calibri" w:cs="Times New Roman"/>
          <w:kern w:val="2"/>
          <w:sz w:val="21"/>
          <w:lang w:eastAsia="zh-CN"/>
        </w:rPr>
        <w:t xml:space="preserve"> </w:t>
      </w:r>
      <w:r w:rsidRPr="00806B89">
        <w:rPr>
          <w:rFonts w:ascii="Times New Roman" w:eastAsia="宋体" w:hAnsi="Times New Roman" w:cs="Times New Roman" w:hint="eastAsia"/>
          <w:kern w:val="2"/>
          <w:lang w:eastAsia="zh-CN"/>
        </w:rPr>
        <w:t>31</w:t>
      </w:r>
      <w:r w:rsidRPr="00806B89">
        <w:rPr>
          <w:rFonts w:ascii="Times New Roman" w:eastAsia="宋体" w:hAnsi="Times New Roman" w:cs="Times New Roman"/>
          <w:kern w:val="2"/>
          <w:lang w:eastAsia="zh-CN"/>
        </w:rPr>
        <w:t xml:space="preserve"> March 2023</w:t>
      </w:r>
    </w:p>
    <w:p w:rsidR="00C221D9" w:rsidRDefault="00C221D9" w:rsidP="00806B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http://www.aimspress.com/journal/Materials</w:t>
      </w:r>
    </w:p>
    <w:p w:rsidR="00C221D9" w:rsidRDefault="00C221D9" w:rsidP="00806B89">
      <w:pPr>
        <w:pBdr>
          <w:bottom w:val="single" w:sz="24" w:space="1" w:color="auto"/>
        </w:pBdr>
        <w:spacing w:after="0" w:line="320" w:lineRule="atLeast"/>
        <w:rPr>
          <w:rFonts w:ascii="Times New Roman" w:hAnsi="Times New Roman"/>
        </w:rPr>
      </w:pPr>
    </w:p>
    <w:p w:rsidR="00C221D9" w:rsidRDefault="00C221D9" w:rsidP="00DF329E">
      <w:pPr>
        <w:spacing w:beforeLines="100" w:after="0" w:line="300" w:lineRule="atLeast"/>
        <w:rPr>
          <w:rFonts w:ascii="Times New Roman" w:hAnsi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Research </w:t>
      </w:r>
      <w:r>
        <w:rPr>
          <w:rFonts w:ascii="Times New Roman" w:hAnsi="Times New Roman" w:hint="eastAsia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>rticle</w:t>
      </w:r>
    </w:p>
    <w:p w:rsidR="00C221D9" w:rsidRPr="00C221D9" w:rsidRDefault="00C221D9" w:rsidP="00C221D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</w:pP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 xml:space="preserve">Demonstration of </w:t>
      </w:r>
      <w:proofErr w:type="spellStart"/>
      <w:r w:rsidRPr="00C221D9">
        <w:rPr>
          <w:rFonts w:ascii="Times New Roman" w:eastAsia="SimSun" w:hAnsi="Times New Roman" w:cs="Times New Roman" w:hint="eastAsia"/>
          <w:b/>
          <w:kern w:val="2"/>
          <w:sz w:val="32"/>
          <w:szCs w:val="32"/>
          <w:lang w:eastAsia="zh-CN"/>
        </w:rPr>
        <w:t>f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>erroelectricity</w:t>
      </w:r>
      <w:proofErr w:type="spellEnd"/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 xml:space="preserve"> in PLD </w:t>
      </w:r>
      <w:r w:rsidRPr="00C221D9">
        <w:rPr>
          <w:rFonts w:ascii="Times New Roman" w:eastAsia="SimSun" w:hAnsi="Times New Roman" w:cs="Times New Roman" w:hint="eastAsia"/>
          <w:b/>
          <w:kern w:val="2"/>
          <w:sz w:val="32"/>
          <w:szCs w:val="32"/>
          <w:lang w:eastAsia="zh-CN"/>
        </w:rPr>
        <w:t>g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>rown HfO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vertAlign w:val="subscript"/>
          <w:lang w:eastAsia="zh-CN"/>
        </w:rPr>
        <w:t>2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>-ZrO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vertAlign w:val="subscript"/>
          <w:lang w:eastAsia="zh-CN"/>
        </w:rPr>
        <w:t>2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 xml:space="preserve"> </w:t>
      </w:r>
      <w:proofErr w:type="spellStart"/>
      <w:r w:rsidRPr="00C221D9">
        <w:rPr>
          <w:rFonts w:ascii="Times New Roman" w:eastAsia="SimSun" w:hAnsi="Times New Roman" w:cs="Times New Roman" w:hint="eastAsia"/>
          <w:b/>
          <w:kern w:val="2"/>
          <w:sz w:val="32"/>
          <w:szCs w:val="32"/>
          <w:lang w:eastAsia="zh-CN"/>
        </w:rPr>
        <w:t>n</w:t>
      </w:r>
      <w:r w:rsidRPr="00C221D9">
        <w:rPr>
          <w:rFonts w:ascii="Times New Roman" w:eastAsia="SimSun" w:hAnsi="Times New Roman" w:cs="Times New Roman"/>
          <w:b/>
          <w:kern w:val="2"/>
          <w:sz w:val="32"/>
          <w:szCs w:val="32"/>
          <w:lang w:eastAsia="zh-CN"/>
        </w:rPr>
        <w:t>anolaminates</w:t>
      </w:r>
      <w:proofErr w:type="spellEnd"/>
    </w:p>
    <w:p w:rsidR="00C221D9" w:rsidRPr="00C221D9" w:rsidRDefault="00C221D9" w:rsidP="00DF329E">
      <w:pPr>
        <w:widowControl w:val="0"/>
        <w:spacing w:beforeLines="100" w:after="0" w:line="300" w:lineRule="atLeast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</w:pPr>
      <w:proofErr w:type="spellStart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Sree</w:t>
      </w:r>
      <w:proofErr w:type="spellEnd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Sourav</w:t>
      </w:r>
      <w:proofErr w:type="spellEnd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Das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1</w:t>
      </w:r>
      <w:r w:rsidR="00806B89">
        <w:rPr>
          <w:rFonts w:ascii="Times New Roman" w:hAnsi="Times New Roman" w:cs="Times New Roman" w:hint="eastAsia"/>
          <w:b/>
          <w:kern w:val="2"/>
          <w:sz w:val="24"/>
          <w:szCs w:val="24"/>
          <w:vertAlign w:val="superscript"/>
          <w:lang w:eastAsia="zh-CN"/>
        </w:rPr>
        <w:t>,</w:t>
      </w:r>
      <w:r w:rsidR="00806B89" w:rsidRPr="00806B89">
        <w:rPr>
          <w:rFonts w:ascii="Times New Roman" w:hAnsi="Times New Roman" w:cs="Times New Roman" w:hint="eastAsia"/>
          <w:b/>
          <w:kern w:val="2"/>
          <w:sz w:val="24"/>
          <w:szCs w:val="24"/>
          <w:lang w:eastAsia="zh-CN"/>
        </w:rPr>
        <w:t>*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, Zach Fox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1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Md</w:t>
      </w:r>
      <w:proofErr w:type="spellEnd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Dalim</w:t>
      </w:r>
      <w:proofErr w:type="spellEnd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Mia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2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, Brian C Samuels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2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Rony</w:t>
      </w:r>
      <w:proofErr w:type="spellEnd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Saha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2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, and Ravi Droopad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1</w:t>
      </w:r>
      <w:proofErr w:type="gramStart"/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,2</w:t>
      </w:r>
      <w:proofErr w:type="gramEnd"/>
    </w:p>
    <w:p w:rsidR="00C221D9" w:rsidRPr="00C221D9" w:rsidRDefault="00C221D9" w:rsidP="00DF329E">
      <w:pPr>
        <w:widowControl w:val="0"/>
        <w:spacing w:beforeLines="100" w:after="0" w:line="300" w:lineRule="atLeast"/>
        <w:ind w:left="241" w:hangingChars="100" w:hanging="24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1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ab/>
      </w:r>
      <w:r w:rsidRPr="00C221D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Ingram School of Engineering, Texas State University, San Marcos, TX-78666, USA</w:t>
      </w:r>
    </w:p>
    <w:p w:rsidR="00C221D9" w:rsidRPr="00C221D9" w:rsidRDefault="00C221D9" w:rsidP="00C221D9">
      <w:pPr>
        <w:widowControl w:val="0"/>
        <w:spacing w:after="0" w:line="300" w:lineRule="atLeast"/>
        <w:ind w:left="241" w:hangingChars="100" w:hanging="24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>2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vertAlign w:val="superscript"/>
          <w:lang w:eastAsia="zh-CN"/>
        </w:rPr>
        <w:tab/>
      </w:r>
      <w:r w:rsidRPr="00C221D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Materials Science, Engineering and Commercialization, Texas State University, San Marcos, TX-78666, USA</w:t>
      </w:r>
    </w:p>
    <w:p w:rsidR="00C221D9" w:rsidRPr="00C221D9" w:rsidRDefault="00C221D9" w:rsidP="00DF329E">
      <w:pPr>
        <w:widowControl w:val="0"/>
        <w:spacing w:beforeLines="100" w:after="0" w:line="300" w:lineRule="atLeast"/>
        <w:ind w:left="241" w:hangingChars="100" w:hanging="241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*</w:t>
      </w:r>
      <w:r w:rsidRPr="00C221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ab/>
        <w:t xml:space="preserve">Correspondence: </w:t>
      </w:r>
      <w:r w:rsidRPr="00C221D9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 xml:space="preserve">Email: </w:t>
      </w:r>
      <w:r w:rsidR="005C1128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xky3tv@virginia.edu</w:t>
      </w:r>
      <w:r w:rsidRPr="00C221D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 Tel</w:t>
      </w:r>
      <w:r w:rsidRPr="00C221D9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: +</w:t>
      </w:r>
      <w:r w:rsidRPr="00C221D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1-737-213-3051.</w:t>
      </w:r>
    </w:p>
    <w:p w:rsidR="00C221D9" w:rsidRPr="00C221D9" w:rsidRDefault="00C221D9" w:rsidP="00C221D9">
      <w:pPr>
        <w:widowControl w:val="0"/>
        <w:pBdr>
          <w:bottom w:val="single" w:sz="24" w:space="1" w:color="auto"/>
        </w:pBdr>
        <w:spacing w:after="0" w:line="320" w:lineRule="atLeast"/>
        <w:jc w:val="both"/>
        <w:rPr>
          <w:rFonts w:ascii="Times New Roman" w:eastAsia="SimSun" w:hAnsi="Times New Roman" w:cs="Times New Roman"/>
          <w:kern w:val="2"/>
          <w:sz w:val="21"/>
          <w:lang w:eastAsia="zh-CN"/>
        </w:rPr>
      </w:pPr>
    </w:p>
    <w:p w:rsidR="00C221D9" w:rsidRPr="00C221D9" w:rsidRDefault="003D5B7A" w:rsidP="00DF329E">
      <w:pPr>
        <w:spacing w:beforeLines="100" w:afterLines="100" w:line="3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  <w:r w:rsidRPr="00C221D9">
        <w:rPr>
          <w:rFonts w:ascii="Times New Roman" w:hAnsi="Times New Roman" w:cs="Times New Roman"/>
          <w:b/>
          <w:bCs/>
          <w:sz w:val="32"/>
          <w:szCs w:val="32"/>
        </w:rPr>
        <w:t>Supplementary</w:t>
      </w:r>
    </w:p>
    <w:p w:rsidR="003D5B7A" w:rsidRPr="00A06F6D" w:rsidRDefault="00C221D9" w:rsidP="00DF329E">
      <w:pPr>
        <w:spacing w:beforeLines="100" w:afterLines="100" w:line="300" w:lineRule="atLeas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1.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High resolution XRD scan</w:t>
      </w:r>
    </w:p>
    <w:p w:rsidR="003D5B7A" w:rsidRPr="00A06F6D" w:rsidRDefault="00CB687B" w:rsidP="00C221D9">
      <w:pPr>
        <w:spacing w:after="0" w:line="300" w:lineRule="atLeast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B687B">
        <w:rPr>
          <w:rFonts w:ascii="Times New Roman" w:hAnsi="Times New Roman" w:cs="Times New Roman"/>
          <w:sz w:val="24"/>
          <w:szCs w:val="24"/>
        </w:rPr>
        <w:t xml:space="preserve">Since our deposited films were polycrystalline, we did not perform asymmetric scan. Hence only XRD </w:t>
      </w:r>
      <w:r w:rsidRPr="00CB687B">
        <w:rPr>
          <w:rFonts w:ascii="Times New Roman" w:hAnsi="Times New Roman" w:cs="Times New Roman"/>
          <w:iCs/>
          <w:sz w:val="24"/>
          <w:szCs w:val="24"/>
        </w:rPr>
        <w:t>2θ</w:t>
      </w:r>
      <w:r w:rsidRPr="00CB687B">
        <w:rPr>
          <w:rFonts w:ascii="Times New Roman" w:hAnsi="Times New Roman" w:cs="Times New Roman"/>
          <w:sz w:val="24"/>
          <w:szCs w:val="24"/>
        </w:rPr>
        <w:t xml:space="preserve"> scans were performed to evaluate the crystal structure. To reduce noise, normalized XRD spectra of the samples are plotted below focusing a small window. We compared the obtained peak position of different phases with other experimental results (</w:t>
      </w:r>
      <w:r w:rsidR="00C221D9"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r w:rsidRPr="00CB687B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="00C221D9">
        <w:rPr>
          <w:rFonts w:ascii="Times New Roman" w:hAnsi="Times New Roman" w:cs="Times New Roman" w:hint="eastAsia"/>
          <w:sz w:val="24"/>
          <w:szCs w:val="24"/>
          <w:lang w:eastAsia="zh-CN"/>
        </w:rPr>
        <w:t>,</w:t>
      </w:r>
      <w:r w:rsidRPr="00CB687B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="00C221D9">
        <w:rPr>
          <w:rFonts w:ascii="Times New Roman" w:hAnsi="Times New Roman" w:cs="Times New Roman" w:hint="eastAsia"/>
          <w:sz w:val="24"/>
          <w:szCs w:val="24"/>
          <w:lang w:eastAsia="zh-CN"/>
        </w:rPr>
        <w:t>]</w:t>
      </w:r>
      <w:r w:rsidRPr="00CB687B">
        <w:rPr>
          <w:rFonts w:ascii="Times New Roman" w:hAnsi="Times New Roman" w:cs="Times New Roman"/>
          <w:sz w:val="24"/>
          <w:szCs w:val="24"/>
        </w:rPr>
        <w:t xml:space="preserve"> in the manuscript) and found a good match with them. We also confirmed the presence of orthorhombic phase using Raman spectroscopy from </w:t>
      </w:r>
      <w:proofErr w:type="spellStart"/>
      <w:r w:rsidRPr="00CB687B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Pr="00CB687B">
        <w:rPr>
          <w:rFonts w:ascii="Times New Roman" w:hAnsi="Times New Roman" w:cs="Times New Roman"/>
          <w:sz w:val="24"/>
          <w:szCs w:val="24"/>
        </w:rPr>
        <w:t xml:space="preserve"> peak shift.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D19" w:rsidRDefault="00C574C6" w:rsidP="00DF329E">
      <w:pPr>
        <w:spacing w:beforeLines="100" w:afterLines="100" w:line="300" w:lineRule="atLeast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noProof/>
          <w:color w:val="000000" w:themeColor="text1"/>
          <w:sz w:val="24"/>
          <w:szCs w:val="24"/>
          <w:lang w:eastAsia="zh-CN"/>
        </w:rPr>
        <w:lastRenderedPageBreak/>
        <w:drawing>
          <wp:inline distT="0" distB="0" distL="0" distR="0">
            <wp:extent cx="3810594" cy="3291840"/>
            <wp:effectExtent l="0" t="0" r="0" b="381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794" t="9715" r="11924" b="4187"/>
                    <a:stretch/>
                  </pic:blipFill>
                  <pic:spPr bwMode="auto">
                    <a:xfrm>
                      <a:off x="0" y="0"/>
                      <a:ext cx="3819500" cy="3299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D19" w:rsidRPr="00F52D19" w:rsidRDefault="00C221D9" w:rsidP="00DF329E">
      <w:pPr>
        <w:spacing w:beforeLines="100" w:afterLines="100" w:line="300" w:lineRule="atLeast"/>
        <w:ind w:left="567" w:righ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2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S1</w:t>
      </w:r>
      <w:r w:rsidRPr="00C221D9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eastAsia="zh-CN"/>
        </w:rPr>
        <w:t>.</w:t>
      </w:r>
      <w:r w:rsidR="00F52D19" w:rsidRPr="00F52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Normalized HR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XRD </w:t>
      </w:r>
      <w:bookmarkStart w:id="0" w:name="_Hlk98107718"/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2θ</w:t>
      </w:r>
      <w:bookmarkEnd w:id="0"/>
      <w:r w:rsidR="00C574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scan of HfO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2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-ZrO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2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deposited at 750 °C and P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o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= 1.2</w:t>
      </w:r>
      <w:r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×</w:t>
      </w:r>
      <w:r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zh-CN"/>
        </w:rPr>
        <w:t xml:space="preserve"> 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−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4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torr</w:t>
      </w:r>
      <w:proofErr w:type="spellEnd"/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for various layer thicknesses.</w:t>
      </w:r>
    </w:p>
    <w:p w:rsidR="00F52D19" w:rsidRDefault="00C574C6" w:rsidP="00DF329E">
      <w:pPr>
        <w:spacing w:beforeLines="100" w:afterLines="100" w:line="300" w:lineRule="atLeast"/>
        <w:jc w:val="center"/>
        <w:rPr>
          <w:rFonts w:ascii="Palatino Linotype" w:hAnsi="Palatino Linotype"/>
          <w:color w:val="2F5496" w:themeColor="accent1" w:themeShade="BF"/>
          <w:sz w:val="24"/>
          <w:szCs w:val="24"/>
        </w:rPr>
      </w:pPr>
      <w:bookmarkStart w:id="1" w:name="_Hlk128048995"/>
      <w:r>
        <w:rPr>
          <w:rFonts w:ascii="Palatino Linotype" w:hAnsi="Palatino Linotype"/>
          <w:noProof/>
          <w:color w:val="2F5496" w:themeColor="accent1" w:themeShade="BF"/>
          <w:sz w:val="24"/>
          <w:szCs w:val="24"/>
          <w:lang w:eastAsia="zh-CN"/>
        </w:rPr>
        <w:drawing>
          <wp:inline distT="0" distB="0" distL="0" distR="0">
            <wp:extent cx="3589020" cy="3050075"/>
            <wp:effectExtent l="0" t="0" r="0" b="0"/>
            <wp:docPr id="6" name="Picture 6" descr="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, histogram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795" t="8207" r="10513" b="5528"/>
                    <a:stretch/>
                  </pic:blipFill>
                  <pic:spPr bwMode="auto">
                    <a:xfrm>
                      <a:off x="0" y="0"/>
                      <a:ext cx="3599534" cy="305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D19" w:rsidRPr="00F52D19" w:rsidRDefault="00C221D9" w:rsidP="00DF329E">
      <w:pPr>
        <w:spacing w:beforeLines="100" w:afterLines="100" w:line="300" w:lineRule="atLeast"/>
        <w:ind w:left="567" w:righ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2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S2</w:t>
      </w:r>
      <w:r w:rsidRPr="00C221D9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eastAsia="zh-CN"/>
        </w:rPr>
        <w:t>.</w:t>
      </w:r>
      <w:r w:rsidR="00F52D19" w:rsidRPr="00F52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Normalized HR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XRD 2θ scan of 15 nm HfO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15 nm ZrO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2</w:t>
      </w:r>
      <w:r w:rsidR="00F52D19"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deposited at 750 °C for various oxygen pressure.</w:t>
      </w:r>
    </w:p>
    <w:bookmarkEnd w:id="1"/>
    <w:p w:rsidR="00F52D19" w:rsidRDefault="00C574C6" w:rsidP="00DF329E">
      <w:pPr>
        <w:spacing w:beforeLines="100" w:afterLines="100" w:line="300" w:lineRule="atLeast"/>
        <w:jc w:val="center"/>
        <w:rPr>
          <w:rFonts w:ascii="Palatino Linotype" w:hAnsi="Palatino Linotype"/>
          <w:color w:val="2F5496" w:themeColor="accent1" w:themeShade="BF"/>
          <w:sz w:val="24"/>
          <w:szCs w:val="24"/>
        </w:rPr>
      </w:pPr>
      <w:r>
        <w:rPr>
          <w:rFonts w:ascii="Palatino Linotype" w:hAnsi="Palatino Linotype"/>
          <w:noProof/>
          <w:color w:val="2F5496" w:themeColor="accent1" w:themeShade="BF"/>
          <w:sz w:val="24"/>
          <w:szCs w:val="24"/>
          <w:lang w:eastAsia="zh-CN"/>
        </w:rPr>
        <w:lastRenderedPageBreak/>
        <w:drawing>
          <wp:inline distT="0" distB="0" distL="0" distR="0">
            <wp:extent cx="3544043" cy="3055620"/>
            <wp:effectExtent l="0" t="0" r="0" b="0"/>
            <wp:docPr id="7" name="Picture 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line char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538" t="9548" r="12179" b="4523"/>
                    <a:stretch/>
                  </pic:blipFill>
                  <pic:spPr bwMode="auto">
                    <a:xfrm>
                      <a:off x="0" y="0"/>
                      <a:ext cx="3550168" cy="3060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D19" w:rsidRPr="00F52D19" w:rsidRDefault="00F52D19" w:rsidP="00DF329E">
      <w:pPr>
        <w:spacing w:beforeLines="100" w:afterLines="100" w:line="300" w:lineRule="atLeast"/>
        <w:ind w:left="567" w:right="56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2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 </w:t>
      </w:r>
      <w:r w:rsidR="00C221D9" w:rsidRPr="00C22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S3</w:t>
      </w:r>
      <w:r w:rsidR="00C221D9" w:rsidRPr="00C221D9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eastAsia="zh-CN"/>
        </w:rPr>
        <w:t>.</w:t>
      </w:r>
      <w:r w:rsidRPr="00F52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Normalized HR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XRD 2θ scan of 15 nm HfO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2</w:t>
      </w:r>
      <w:r w:rsidR="00C221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15 nm ZrO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2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deposited at P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o</w:t>
      </w:r>
      <w:r w:rsidR="00C221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= 1.2</w:t>
      </w:r>
      <w:r w:rsidR="00C221D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zh-CN"/>
        </w:rPr>
        <w:t xml:space="preserve"> </w:t>
      </w:r>
      <w:r w:rsidR="00C221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×</w:t>
      </w:r>
      <w:r w:rsidR="00C221D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zh-CN"/>
        </w:rPr>
        <w:t xml:space="preserve"> 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10</w:t>
      </w:r>
      <w:r w:rsidR="00C221D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−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4</w:t>
      </w:r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torr</w:t>
      </w:r>
      <w:proofErr w:type="spellEnd"/>
      <w:r w:rsidRPr="00F52D1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for various temperatures</w:t>
      </w:r>
      <w:r w:rsidR="005C50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after annealing.</w:t>
      </w:r>
    </w:p>
    <w:p w:rsidR="003D5B7A" w:rsidRPr="00A06F6D" w:rsidRDefault="00C221D9" w:rsidP="00DF329E">
      <w:pPr>
        <w:spacing w:beforeLines="100" w:afterLines="100"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2.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ab/>
      </w:r>
      <w:r w:rsidR="00F52D1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D5B7A" w:rsidRPr="00A06F6D">
        <w:rPr>
          <w:rFonts w:ascii="Times New Roman" w:hAnsi="Times New Roman" w:cs="Times New Roman"/>
          <w:b/>
          <w:bCs/>
          <w:sz w:val="24"/>
          <w:szCs w:val="24"/>
        </w:rPr>
        <w:t>fO</w:t>
      </w:r>
      <w:r w:rsidR="003D5B7A" w:rsidRPr="00A06F6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3D5B7A" w:rsidRPr="00A06F6D">
        <w:rPr>
          <w:rFonts w:ascii="Times New Roman" w:hAnsi="Times New Roman" w:cs="Times New Roman"/>
          <w:b/>
          <w:bCs/>
          <w:sz w:val="24"/>
          <w:szCs w:val="24"/>
        </w:rPr>
        <w:t>-ZrO</w:t>
      </w:r>
      <w:r w:rsidR="003D5B7A" w:rsidRPr="00A06F6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Interface</w:t>
      </w:r>
    </w:p>
    <w:p w:rsidR="003D5B7A" w:rsidRPr="00A06F6D" w:rsidRDefault="003D5B7A" w:rsidP="00C221D9">
      <w:pPr>
        <w:spacing w:after="0" w:line="300" w:lineRule="atLeast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06F6D">
        <w:rPr>
          <w:rFonts w:ascii="Times New Roman" w:hAnsi="Times New Roman" w:cs="Times New Roman"/>
          <w:sz w:val="24"/>
          <w:szCs w:val="24"/>
        </w:rPr>
        <w:t>To examine the interface between HfO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and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, XPS depth profile measurements were taken in every 2 second interval during ion etching of the sample from the surface to the bottom of </w:t>
      </w:r>
      <w:proofErr w:type="spellStart"/>
      <w:r w:rsidRPr="00A06F6D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A06F6D">
        <w:rPr>
          <w:rFonts w:ascii="Times New Roman" w:hAnsi="Times New Roman" w:cs="Times New Roman"/>
          <w:sz w:val="24"/>
          <w:szCs w:val="24"/>
        </w:rPr>
        <w:t xml:space="preserve"> electrode. </w:t>
      </w:r>
      <w:proofErr w:type="gramStart"/>
      <w:r w:rsidRPr="00A06F6D">
        <w:rPr>
          <w:rFonts w:ascii="Times New Roman" w:hAnsi="Times New Roman" w:cs="Times New Roman"/>
          <w:sz w:val="24"/>
          <w:szCs w:val="24"/>
        </w:rPr>
        <w:t xml:space="preserve">An argon ion source having energy 4000 </w:t>
      </w:r>
      <w:proofErr w:type="spellStart"/>
      <w:r w:rsidRPr="00A06F6D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A06F6D">
        <w:rPr>
          <w:rFonts w:ascii="Times New Roman" w:hAnsi="Times New Roman" w:cs="Times New Roman"/>
          <w:sz w:val="24"/>
          <w:szCs w:val="24"/>
        </w:rPr>
        <w:t xml:space="preserve"> as used for etching.</w:t>
      </w:r>
      <w:proofErr w:type="gramEnd"/>
      <w:r w:rsidRPr="00A06F6D">
        <w:rPr>
          <w:rFonts w:ascii="Times New Roman" w:hAnsi="Times New Roman" w:cs="Times New Roman"/>
          <w:sz w:val="24"/>
          <w:szCs w:val="24"/>
        </w:rPr>
        <w:t xml:space="preserve"> Fig</w:t>
      </w:r>
      <w:r w:rsidR="00692379">
        <w:rPr>
          <w:rFonts w:ascii="Times New Roman" w:hAnsi="Times New Roman" w:cs="Times New Roman"/>
          <w:sz w:val="24"/>
          <w:szCs w:val="24"/>
        </w:rPr>
        <w:t>ure</w:t>
      </w:r>
      <w:r w:rsidRPr="00A06F6D">
        <w:rPr>
          <w:rFonts w:ascii="Times New Roman" w:hAnsi="Times New Roman" w:cs="Times New Roman"/>
          <w:sz w:val="24"/>
          <w:szCs w:val="24"/>
        </w:rPr>
        <w:t xml:space="preserve"> S</w:t>
      </w:r>
      <w:r w:rsidR="00A722DE">
        <w:rPr>
          <w:rFonts w:ascii="Times New Roman" w:hAnsi="Times New Roman" w:cs="Times New Roman"/>
          <w:sz w:val="24"/>
          <w:szCs w:val="24"/>
        </w:rPr>
        <w:t>4</w:t>
      </w:r>
      <w:r w:rsidRPr="00A06F6D">
        <w:rPr>
          <w:rFonts w:ascii="Times New Roman" w:hAnsi="Times New Roman" w:cs="Times New Roman"/>
          <w:sz w:val="24"/>
          <w:szCs w:val="24"/>
        </w:rPr>
        <w:t xml:space="preserve"> show the profile of HfO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and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signal for 2 structures grown at different temperatures. From region 1, only signal of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is obvious; signal from other elements is entirely absent. As etching continues, i.e., in region 2,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signal begins to decay while signal of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is totally absent and HfO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appears as the dominant signal. Finally, further etching reveals the bottom electrode </w:t>
      </w:r>
      <w:proofErr w:type="spellStart"/>
      <w:r w:rsidRPr="00A06F6D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A06F6D">
        <w:rPr>
          <w:rFonts w:ascii="Times New Roman" w:hAnsi="Times New Roman" w:cs="Times New Roman"/>
          <w:sz w:val="24"/>
          <w:szCs w:val="24"/>
        </w:rPr>
        <w:t>. On the other hand, in case of 750 °C deposition temperature,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shows a significant amount of atomic percentage even in region 3. That means ZrO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diffused into the HfO</w:t>
      </w:r>
      <w:r w:rsidRPr="00A06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layer. However, the composition of HfO</w:t>
      </w:r>
      <w:r w:rsidRPr="00950A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and ZrO</w:t>
      </w:r>
      <w:r w:rsidRPr="00950A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 xml:space="preserve"> in the intermixing layer is difficult to determine because of the penetration depth of X-rays (~10nm). Transmission electron microscopy (TEM) and Secondary Ion Mass Spectroscopy (SIMS) can be better alternative to validate the compositional percentage of the intermixing layer. </w:t>
      </w:r>
    </w:p>
    <w:p w:rsidR="003D5B7A" w:rsidRPr="00A06F6D" w:rsidRDefault="003D5B7A" w:rsidP="00DF329E">
      <w:pPr>
        <w:spacing w:beforeLines="100" w:afterLines="100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6F6D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>
            <wp:extent cx="4023360" cy="3170996"/>
            <wp:effectExtent l="1905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54" t="5128" r="26923"/>
                    <a:stretch/>
                  </pic:blipFill>
                  <pic:spPr bwMode="auto">
                    <a:xfrm>
                      <a:off x="0" y="0"/>
                      <a:ext cx="4023360" cy="3170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B7A" w:rsidRPr="00C221D9" w:rsidRDefault="003D5B7A" w:rsidP="00DF329E">
      <w:pPr>
        <w:spacing w:beforeLines="100" w:afterLines="100" w:line="300" w:lineRule="atLeast"/>
        <w:ind w:left="567" w:right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21D9">
        <w:rPr>
          <w:rFonts w:ascii="Times New Roman" w:hAnsi="Times New Roman" w:cs="Times New Roman"/>
          <w:b/>
          <w:sz w:val="24"/>
          <w:szCs w:val="24"/>
        </w:rPr>
        <w:t>Figure S</w:t>
      </w:r>
      <w:r w:rsidR="00A722DE" w:rsidRPr="00C221D9">
        <w:rPr>
          <w:rFonts w:ascii="Times New Roman" w:hAnsi="Times New Roman" w:cs="Times New Roman"/>
          <w:b/>
          <w:sz w:val="24"/>
          <w:szCs w:val="24"/>
        </w:rPr>
        <w:t>4</w:t>
      </w:r>
      <w:r w:rsidR="00C221D9" w:rsidRPr="00C221D9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Pr="00A06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6F6D">
        <w:rPr>
          <w:rFonts w:ascii="Times New Roman" w:hAnsi="Times New Roman" w:cs="Times New Roman"/>
          <w:sz w:val="24"/>
          <w:szCs w:val="24"/>
        </w:rPr>
        <w:t>Etching profile of 15 nm HfO</w:t>
      </w:r>
      <w:r w:rsidRPr="00950A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>/15 nm ZrO</w:t>
      </w:r>
      <w:r w:rsidRPr="00950A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F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6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6F6D">
        <w:rPr>
          <w:rFonts w:ascii="Times New Roman" w:hAnsi="Times New Roman" w:cs="Times New Roman"/>
          <w:sz w:val="24"/>
          <w:szCs w:val="24"/>
        </w:rPr>
        <w:t xml:space="preserve">Atomic percentage of different compound </w:t>
      </w:r>
      <w:proofErr w:type="spellStart"/>
      <w:r w:rsidRPr="00A06F6D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A06F6D">
        <w:rPr>
          <w:rFonts w:ascii="Times New Roman" w:hAnsi="Times New Roman" w:cs="Times New Roman"/>
          <w:sz w:val="24"/>
          <w:szCs w:val="24"/>
        </w:rPr>
        <w:t xml:space="preserve"> etching time from surface to bottom electrode.</w:t>
      </w:r>
      <w:proofErr w:type="gramEnd"/>
    </w:p>
    <w:p w:rsidR="003D5B7A" w:rsidRPr="00DF217B" w:rsidRDefault="00DF217B" w:rsidP="001F65C4">
      <w:pPr>
        <w:widowControl w:val="0"/>
        <w:spacing w:beforeLines="100" w:after="0" w:line="300" w:lineRule="atLeast"/>
        <w:ind w:left="328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kern w:val="2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27305</wp:posOffset>
            </wp:positionV>
            <wp:extent cx="1767840" cy="50038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21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©</w:t>
      </w:r>
      <w:r w:rsidRPr="00DF217B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 xml:space="preserve"> </w:t>
      </w:r>
      <w:r w:rsidRPr="00DF21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20</w:t>
      </w:r>
      <w:r w:rsidRPr="00DF217B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23</w:t>
      </w:r>
      <w:r w:rsidRPr="00DF21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DF217B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the Author(s), licensee AIMS Press. T</w:t>
      </w:r>
      <w:r w:rsidRPr="00DF21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his is an open access article distributed under the terms of the Creative Commons Attribution License (http://creativecommons.org/licenses/by/</w:t>
      </w:r>
      <w:r w:rsidRPr="00DF217B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4</w:t>
      </w:r>
      <w:r w:rsidRPr="00DF21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.0)</w:t>
      </w:r>
    </w:p>
    <w:sectPr w:rsidR="003D5B7A" w:rsidRPr="00DF217B" w:rsidSect="00806B89">
      <w:headerReference w:type="default" r:id="rId14"/>
      <w:footerReference w:type="default" r:id="rId15"/>
      <w:footerReference w:type="first" r:id="rId16"/>
      <w:pgSz w:w="11907" w:h="16839" w:code="9"/>
      <w:pgMar w:top="1440" w:right="1080" w:bottom="1440" w:left="1080" w:header="850" w:footer="992" w:gutter="0"/>
      <w:cols w:space="720"/>
      <w:titlePg/>
      <w:docGrid w:type="lines" w:linePitch="3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02C" w:rsidRDefault="0045102C" w:rsidP="00806B89">
      <w:pPr>
        <w:spacing w:after="0" w:line="240" w:lineRule="auto"/>
      </w:pPr>
      <w:r>
        <w:separator/>
      </w:r>
    </w:p>
  </w:endnote>
  <w:endnote w:type="continuationSeparator" w:id="0">
    <w:p w:rsidR="0045102C" w:rsidRDefault="0045102C" w:rsidP="0080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9E" w:rsidRPr="00DF329E" w:rsidRDefault="00DF329E" w:rsidP="00DF329E">
    <w:pPr>
      <w:pStyle w:val="Footer"/>
      <w:tabs>
        <w:tab w:val="clear" w:pos="8306"/>
        <w:tab w:val="right" w:pos="9781"/>
      </w:tabs>
      <w:snapToGrid/>
      <w:spacing w:after="0"/>
      <w:jc w:val="both"/>
      <w:rPr>
        <w:rFonts w:ascii="Times New Roman" w:hAnsi="Times New Roman" w:hint="eastAsia"/>
        <w:sz w:val="20"/>
        <w:szCs w:val="20"/>
        <w:lang w:eastAsia="zh-CN"/>
      </w:rPr>
    </w:pPr>
    <w:r>
      <w:rPr>
        <w:rFonts w:ascii="Times New Roman" w:hAnsi="Times New Roman"/>
        <w:i/>
        <w:sz w:val="20"/>
        <w:szCs w:val="20"/>
      </w:rPr>
      <w:t>AIMS</w:t>
    </w:r>
    <w:r>
      <w:rPr>
        <w:rFonts w:ascii="Times New Roman" w:hAnsi="Times New Roman" w:hint="eastAsia"/>
        <w:i/>
        <w:sz w:val="20"/>
        <w:szCs w:val="20"/>
      </w:rPr>
      <w:t xml:space="preserve"> Materials Science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>Volume 10, Issue 2, 342</w:t>
    </w:r>
    <w:r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 w:hint="eastAsia"/>
        <w:sz w:val="20"/>
        <w:szCs w:val="20"/>
      </w:rPr>
      <w:t>355.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B89" w:rsidRPr="00806B89" w:rsidRDefault="00806B89" w:rsidP="00806B89">
    <w:pPr>
      <w:pStyle w:val="Footer"/>
      <w:tabs>
        <w:tab w:val="clear" w:pos="8306"/>
        <w:tab w:val="right" w:pos="9781"/>
      </w:tabs>
      <w:snapToGrid/>
      <w:spacing w:after="0"/>
      <w:jc w:val="both"/>
      <w:rPr>
        <w:rFonts w:ascii="Times New Roman" w:hAnsi="Times New Roman"/>
        <w:sz w:val="20"/>
        <w:szCs w:val="20"/>
        <w:lang w:eastAsia="zh-CN"/>
      </w:rPr>
    </w:pPr>
    <w:r>
      <w:rPr>
        <w:rFonts w:ascii="Times New Roman" w:hAnsi="Times New Roman"/>
        <w:i/>
        <w:sz w:val="20"/>
        <w:szCs w:val="20"/>
      </w:rPr>
      <w:t>AIMS</w:t>
    </w:r>
    <w:r>
      <w:rPr>
        <w:rFonts w:ascii="Times New Roman" w:hAnsi="Times New Roman" w:hint="eastAsia"/>
        <w:i/>
        <w:sz w:val="20"/>
        <w:szCs w:val="20"/>
      </w:rPr>
      <w:t xml:space="preserve"> Materials Science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>Volume 10, Issue 2, 342</w:t>
    </w:r>
    <w:r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 w:hint="eastAsia"/>
        <w:sz w:val="20"/>
        <w:szCs w:val="20"/>
      </w:rPr>
      <w:t>356.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02C" w:rsidRDefault="0045102C" w:rsidP="00806B89">
      <w:pPr>
        <w:spacing w:after="0" w:line="240" w:lineRule="auto"/>
      </w:pPr>
      <w:r>
        <w:separator/>
      </w:r>
    </w:p>
  </w:footnote>
  <w:footnote w:type="continuationSeparator" w:id="0">
    <w:p w:rsidR="0045102C" w:rsidRDefault="0045102C" w:rsidP="0080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5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06B89" w:rsidRPr="00806B89" w:rsidRDefault="001F65C4" w:rsidP="00806B89">
        <w:pPr>
          <w:pStyle w:val="Header"/>
          <w:snapToGrid/>
          <w:spacing w:after="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06B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06B89" w:rsidRPr="00806B8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06B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52C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06B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F88"/>
    <w:multiLevelType w:val="hybridMultilevel"/>
    <w:tmpl w:val="A32A23EA"/>
    <w:lvl w:ilvl="0" w:tplc="A29CA7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843B9"/>
    <w:multiLevelType w:val="hybridMultilevel"/>
    <w:tmpl w:val="5EC89E66"/>
    <w:lvl w:ilvl="0" w:tplc="C02AA8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s, Sree Sourav (xky3tv)">
    <w15:presenceInfo w15:providerId="AD" w15:userId="S::xky3tv@virginia.edu::db374f3c-cf59-4e6e-96a4-09d4825a51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40"/>
  <w:drawingGridHorizontalSpacing w:val="110"/>
  <w:drawingGridVerticalSpacing w:val="15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B7A"/>
    <w:rsid w:val="000A2AAE"/>
    <w:rsid w:val="000E3E9B"/>
    <w:rsid w:val="001F65C4"/>
    <w:rsid w:val="003D5B7A"/>
    <w:rsid w:val="0045102C"/>
    <w:rsid w:val="005C1128"/>
    <w:rsid w:val="005C50AC"/>
    <w:rsid w:val="00680DD4"/>
    <w:rsid w:val="00692379"/>
    <w:rsid w:val="00806B89"/>
    <w:rsid w:val="009352C3"/>
    <w:rsid w:val="00950A62"/>
    <w:rsid w:val="009C4343"/>
    <w:rsid w:val="00A06F6D"/>
    <w:rsid w:val="00A275D6"/>
    <w:rsid w:val="00A722DE"/>
    <w:rsid w:val="00C221D9"/>
    <w:rsid w:val="00C574C6"/>
    <w:rsid w:val="00CB687B"/>
    <w:rsid w:val="00D041A6"/>
    <w:rsid w:val="00D505F9"/>
    <w:rsid w:val="00DA48DE"/>
    <w:rsid w:val="00DF217B"/>
    <w:rsid w:val="00DF329E"/>
    <w:rsid w:val="00E87575"/>
    <w:rsid w:val="00F5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1D9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D9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221D9"/>
  </w:style>
  <w:style w:type="paragraph" w:styleId="Revision">
    <w:name w:val="Revision"/>
    <w:hidden/>
    <w:uiPriority w:val="99"/>
    <w:semiHidden/>
    <w:rsid w:val="005C11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6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6B8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6B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06B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F29EC-F817-4317-B8F7-94349048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Sree Sourav (xky3tv)</dc:creator>
  <cp:lastModifiedBy>lianhua</cp:lastModifiedBy>
  <cp:revision>15</cp:revision>
  <cp:lastPrinted>2023-03-31T09:08:00Z</cp:lastPrinted>
  <dcterms:created xsi:type="dcterms:W3CDTF">2023-02-21T21:26:00Z</dcterms:created>
  <dcterms:modified xsi:type="dcterms:W3CDTF">2023-03-31T09:08:00Z</dcterms:modified>
</cp:coreProperties>
</file>